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B3813">
      <w:pPr>
        <w:pStyle w:val="2"/>
        <w:spacing w:before="0" w:after="0" w:line="240" w:lineRule="auto"/>
        <w:jc w:val="center"/>
        <w:rPr>
          <w:rFonts w:hint="eastAsia" w:ascii="方正小标宋简体" w:hAnsi="宋体" w:eastAsia="方正小标宋简体"/>
          <w:sz w:val="36"/>
          <w:szCs w:val="36"/>
        </w:rPr>
      </w:pPr>
      <w:bookmarkStart w:id="0" w:name="_GoBack"/>
      <w:bookmarkEnd w:id="0"/>
      <w:r>
        <w:rPr>
          <w:rFonts w:hint="eastAsia" w:ascii="方正小标宋简体" w:hAnsi="宋体" w:eastAsia="方正小标宋简体"/>
          <w:sz w:val="36"/>
          <w:szCs w:val="36"/>
        </w:rPr>
        <w:t>生命科学学院</w:t>
      </w:r>
    </w:p>
    <w:p w14:paraId="3C882B87">
      <w:pPr>
        <w:pStyle w:val="2"/>
        <w:spacing w:before="0" w:after="0" w:line="240" w:lineRule="auto"/>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资源与环境专业研究生学业奖学金评审办法</w:t>
      </w:r>
    </w:p>
    <w:p w14:paraId="339F89BA">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第一章  总 则</w:t>
      </w:r>
    </w:p>
    <w:p w14:paraId="1AA0D78B">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第一条  </w:t>
      </w:r>
      <w:r>
        <w:rPr>
          <w:rFonts w:hint="eastAsia" w:ascii="仿宋_GB2312" w:hAnsi="宋体" w:eastAsia="仿宋_GB2312" w:cs="宋体"/>
          <w:color w:val="000000"/>
          <w:kern w:val="0"/>
          <w:sz w:val="32"/>
          <w:szCs w:val="32"/>
        </w:rPr>
        <w:t>为激励我院研究生勤奋学习、潜心科研、勇于创新、积极进取，根据、《淮北师范大学研究生学业奖学金实施办法（修订）》（校研字〔2020〕27号）规定，结合我院实际，特制定本办法。</w:t>
      </w:r>
    </w:p>
    <w:p w14:paraId="135099C5">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第二条  </w:t>
      </w:r>
      <w:r>
        <w:rPr>
          <w:rFonts w:hint="eastAsia" w:ascii="仿宋_GB2312" w:hAnsi="宋体" w:eastAsia="仿宋_GB2312" w:cs="宋体"/>
          <w:color w:val="000000"/>
          <w:kern w:val="0"/>
          <w:sz w:val="32"/>
          <w:szCs w:val="32"/>
        </w:rPr>
        <w:t>申请人应为我校具有中华人民共和国国籍且纳入全国招生计划的在读全日制研究生。</w:t>
      </w:r>
    </w:p>
    <w:p w14:paraId="7FEAB798">
      <w:pPr>
        <w:pStyle w:val="7"/>
        <w:spacing w:before="0" w:beforeAutospacing="0" w:after="0" w:afterAutospacing="0" w:line="360" w:lineRule="auto"/>
        <w:ind w:firstLine="964" w:firstLineChars="300"/>
        <w:rPr>
          <w:rFonts w:hint="eastAsia" w:ascii="仿宋_GB2312" w:eastAsia="仿宋_GB2312"/>
          <w:color w:val="000000"/>
          <w:sz w:val="32"/>
          <w:szCs w:val="32"/>
        </w:rPr>
      </w:pPr>
      <w:r>
        <w:rPr>
          <w:rFonts w:hint="eastAsia" w:ascii="仿宋_GB2312" w:eastAsia="仿宋_GB2312"/>
          <w:b/>
          <w:color w:val="000000"/>
          <w:sz w:val="32"/>
          <w:szCs w:val="32"/>
        </w:rPr>
        <w:t xml:space="preserve">第三条  </w:t>
      </w:r>
      <w:r>
        <w:rPr>
          <w:rFonts w:hint="eastAsia" w:ascii="仿宋_GB2312" w:eastAsia="仿宋_GB2312"/>
          <w:color w:val="000000"/>
          <w:sz w:val="32"/>
          <w:szCs w:val="32"/>
        </w:rPr>
        <w:t>申请学业奖学金的研究生须具备以下基本条件：</w:t>
      </w:r>
    </w:p>
    <w:p w14:paraId="4A983423">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（一）</w:t>
      </w:r>
      <w:r>
        <w:rPr>
          <w:rFonts w:hint="eastAsia" w:ascii="仿宋_GB2312" w:eastAsia="仿宋_GB2312"/>
          <w:color w:val="000000"/>
          <w:sz w:val="32"/>
          <w:szCs w:val="32"/>
        </w:rPr>
        <w:t>热爱社会主义祖国，拥护中国共产党的领导；</w:t>
      </w:r>
    </w:p>
    <w:p w14:paraId="1C397382">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（二）</w:t>
      </w:r>
      <w:r>
        <w:rPr>
          <w:rFonts w:hint="eastAsia" w:ascii="仿宋_GB2312" w:eastAsia="仿宋_GB2312"/>
          <w:color w:val="000000"/>
          <w:sz w:val="32"/>
          <w:szCs w:val="32"/>
        </w:rPr>
        <w:t>遵守宪法和法律，遵守学校规章制度；</w:t>
      </w:r>
    </w:p>
    <w:p w14:paraId="44265801">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（三）</w:t>
      </w:r>
      <w:r>
        <w:rPr>
          <w:rFonts w:hint="eastAsia" w:ascii="仿宋_GB2312" w:eastAsia="仿宋_GB2312"/>
          <w:color w:val="000000"/>
          <w:sz w:val="32"/>
          <w:szCs w:val="32"/>
        </w:rPr>
        <w:t>遵守学术规范，诚实守信，品学兼优；</w:t>
      </w:r>
    </w:p>
    <w:p w14:paraId="19B6F025">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（四）积极参与科学研究和社会实践。</w:t>
      </w:r>
    </w:p>
    <w:p w14:paraId="0632715C">
      <w:pPr>
        <w:tabs>
          <w:tab w:val="left" w:pos="1440"/>
          <w:tab w:val="left" w:pos="1620"/>
        </w:tabs>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第四条  </w:t>
      </w:r>
      <w:r>
        <w:rPr>
          <w:rFonts w:hint="eastAsia" w:ascii="仿宋_GB2312" w:hAnsi="宋体" w:eastAsia="仿宋_GB2312" w:cs="宋体"/>
          <w:color w:val="000000"/>
          <w:kern w:val="0"/>
          <w:sz w:val="32"/>
          <w:szCs w:val="32"/>
        </w:rPr>
        <w:t>研究生学业奖学金的经费来源于财政拨款、学费收入、社会捐助等。</w:t>
      </w:r>
    </w:p>
    <w:p w14:paraId="23E313E0">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第二章  评审机构</w:t>
      </w:r>
    </w:p>
    <w:p w14:paraId="23F64975">
      <w:pPr>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kern w:val="0"/>
          <w:sz w:val="32"/>
          <w:szCs w:val="32"/>
        </w:rPr>
        <w:t xml:space="preserve">第五条  </w:t>
      </w:r>
      <w:r>
        <w:rPr>
          <w:rFonts w:hint="eastAsia" w:ascii="仿宋_GB2312" w:hAnsi="宋体" w:eastAsia="仿宋_GB2312" w:cs="宋体"/>
          <w:color w:val="000000"/>
          <w:kern w:val="0"/>
          <w:sz w:val="32"/>
          <w:szCs w:val="32"/>
        </w:rPr>
        <w:t>学院成立研究生奖助学金评审领导小组，负责统筹领导、协调、监督评审工作，并裁决研究生对评审结果的申诉。</w:t>
      </w:r>
    </w:p>
    <w:p w14:paraId="6ECA0D04">
      <w:pPr>
        <w:spacing w:line="360" w:lineRule="auto"/>
        <w:ind w:left="155" w:leftChars="74"/>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    第六条</w:t>
      </w:r>
      <w:r>
        <w:rPr>
          <w:rFonts w:hint="eastAsia" w:ascii="仿宋_GB2312" w:hAnsi="宋体" w:eastAsia="仿宋_GB2312" w:cs="宋体"/>
          <w:color w:val="000000"/>
          <w:kern w:val="0"/>
          <w:sz w:val="32"/>
          <w:szCs w:val="32"/>
        </w:rPr>
        <w:t xml:space="preserve">  学院成立研究生奖助学金评审委员会，负责研究生学业奖学金的复审、复评工作。由院党委书记、院长任主任委员，研究生导师代表、相关管理人员代表、研究生代表任委员的研究生奖助学金评审委员会，其成员原则上不少于7人，负责制定研究生学业奖学金的评审细则，并开展初评工作。</w:t>
      </w:r>
    </w:p>
    <w:p w14:paraId="26242787">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第三章  等级设置及评选条件</w:t>
      </w:r>
    </w:p>
    <w:p w14:paraId="50482B15">
      <w:pPr>
        <w:pStyle w:val="7"/>
        <w:spacing w:before="0" w:beforeAutospacing="0" w:after="0" w:afterAutospacing="0" w:line="360" w:lineRule="auto"/>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 xml:space="preserve"> 第八条  </w:t>
      </w:r>
      <w:r>
        <w:rPr>
          <w:rFonts w:hint="eastAsia" w:ascii="仿宋_GB2312" w:eastAsia="仿宋_GB2312"/>
          <w:color w:val="000000"/>
          <w:sz w:val="32"/>
          <w:szCs w:val="32"/>
        </w:rPr>
        <w:t>学业奖学金主要包括：新生奖学金、综合奖学金、单项奖学金和社会捐助。</w:t>
      </w:r>
    </w:p>
    <w:p w14:paraId="40BAA196">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（一）</w:t>
      </w:r>
      <w:r>
        <w:rPr>
          <w:rFonts w:hint="eastAsia" w:ascii="仿宋_GB2312" w:eastAsia="仿宋_GB2312"/>
          <w:color w:val="000000"/>
          <w:sz w:val="32"/>
          <w:szCs w:val="32"/>
        </w:rPr>
        <w:t>新生奖学金</w:t>
      </w:r>
    </w:p>
    <w:p w14:paraId="55CBD34A">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学校统筹评定。</w:t>
      </w:r>
    </w:p>
    <w:p w14:paraId="32D11CAF">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（二）综合奖学金</w:t>
      </w:r>
    </w:p>
    <w:p w14:paraId="0EF831A8">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1</w:t>
      </w:r>
      <w:r>
        <w:rPr>
          <w:rFonts w:hint="eastAsia" w:ascii="仿宋_GB2312" w:eastAsia="仿宋_GB2312"/>
          <w:color w:val="000000"/>
          <w:sz w:val="32"/>
          <w:szCs w:val="32"/>
        </w:rPr>
        <w:t>. 等级、比例和标准</w:t>
      </w:r>
    </w:p>
    <w:p w14:paraId="19859E67">
      <w:pPr>
        <w:pStyle w:val="3"/>
        <w:spacing w:before="75" w:line="360" w:lineRule="auto"/>
        <w:ind w:left="330" w:right="75" w:firstLine="420"/>
        <w:rPr>
          <w:rFonts w:ascii="仿宋_GB2312" w:eastAsia="仿宋_GB2312" w:cs="宋体"/>
          <w:color w:val="000000"/>
          <w:sz w:val="32"/>
          <w:szCs w:val="32"/>
          <w:lang w:eastAsia="zh-CN"/>
        </w:rPr>
      </w:pPr>
      <w:r>
        <w:rPr>
          <w:rFonts w:ascii="仿宋_GB2312" w:eastAsia="仿宋_GB2312" w:cs="宋体"/>
          <w:color w:val="000000"/>
          <w:sz w:val="32"/>
          <w:szCs w:val="32"/>
          <w:lang w:eastAsia="zh-CN"/>
        </w:rPr>
        <w:t xml:space="preserve">综合奖学金分三个等级。一等奖 8000 元，授予综合测评排名本学科前 </w:t>
      </w:r>
      <w:r>
        <w:rPr>
          <w:rFonts w:hint="eastAsia" w:ascii="仿宋_GB2312" w:eastAsia="仿宋_GB2312" w:cs="宋体"/>
          <w:color w:val="000000"/>
          <w:sz w:val="32"/>
          <w:szCs w:val="32"/>
          <w:lang w:eastAsia="zh-CN"/>
        </w:rPr>
        <w:t>10</w:t>
      </w:r>
      <w:r>
        <w:rPr>
          <w:rFonts w:ascii="仿宋_GB2312" w:eastAsia="仿宋_GB2312" w:cs="宋体"/>
          <w:color w:val="000000"/>
          <w:sz w:val="32"/>
          <w:szCs w:val="32"/>
          <w:lang w:eastAsia="zh-CN"/>
        </w:rPr>
        <w:t xml:space="preserve">%的硕士研究生； 二等奖 6000 元，授予综合测评排名前 </w:t>
      </w:r>
      <w:r>
        <w:rPr>
          <w:rFonts w:hint="eastAsia" w:ascii="仿宋_GB2312" w:eastAsia="仿宋_GB2312" w:cs="宋体"/>
          <w:color w:val="000000"/>
          <w:sz w:val="32"/>
          <w:szCs w:val="32"/>
          <w:lang w:eastAsia="zh-CN"/>
        </w:rPr>
        <w:t>11</w:t>
      </w:r>
      <w:r>
        <w:rPr>
          <w:rFonts w:ascii="仿宋_GB2312" w:eastAsia="仿宋_GB2312" w:cs="宋体"/>
          <w:color w:val="000000"/>
          <w:sz w:val="32"/>
          <w:szCs w:val="32"/>
          <w:lang w:eastAsia="zh-CN"/>
        </w:rPr>
        <w:t>%—</w:t>
      </w:r>
      <w:r>
        <w:rPr>
          <w:rFonts w:hint="eastAsia" w:ascii="仿宋_GB2312" w:eastAsia="仿宋_GB2312" w:cs="宋体"/>
          <w:color w:val="000000"/>
          <w:sz w:val="32"/>
          <w:szCs w:val="32"/>
          <w:lang w:eastAsia="zh-CN"/>
        </w:rPr>
        <w:t>3</w:t>
      </w:r>
      <w:r>
        <w:rPr>
          <w:rFonts w:ascii="仿宋_GB2312" w:eastAsia="仿宋_GB2312" w:cs="宋体"/>
          <w:color w:val="000000"/>
          <w:sz w:val="32"/>
          <w:szCs w:val="32"/>
          <w:lang w:eastAsia="zh-CN"/>
        </w:rPr>
        <w:t xml:space="preserve">0%的硕士研究生；三等奖 4000 元，授予综合测 评排名前 </w:t>
      </w:r>
      <w:r>
        <w:rPr>
          <w:rFonts w:hint="eastAsia" w:ascii="仿宋_GB2312" w:eastAsia="仿宋_GB2312" w:cs="宋体"/>
          <w:color w:val="000000"/>
          <w:sz w:val="32"/>
          <w:szCs w:val="32"/>
          <w:lang w:eastAsia="zh-CN"/>
        </w:rPr>
        <w:t>3</w:t>
      </w:r>
      <w:r>
        <w:rPr>
          <w:rFonts w:ascii="仿宋_GB2312" w:eastAsia="仿宋_GB2312" w:cs="宋体"/>
          <w:color w:val="000000"/>
          <w:sz w:val="32"/>
          <w:szCs w:val="32"/>
          <w:lang w:eastAsia="zh-CN"/>
        </w:rPr>
        <w:t>1%—</w:t>
      </w:r>
      <w:r>
        <w:rPr>
          <w:rFonts w:hint="eastAsia" w:ascii="仿宋_GB2312" w:eastAsia="仿宋_GB2312" w:cs="宋体"/>
          <w:color w:val="000000"/>
          <w:sz w:val="32"/>
          <w:szCs w:val="32"/>
          <w:lang w:eastAsia="zh-CN"/>
        </w:rPr>
        <w:t>7</w:t>
      </w:r>
      <w:r>
        <w:rPr>
          <w:rFonts w:ascii="仿宋_GB2312" w:eastAsia="仿宋_GB2312" w:cs="宋体"/>
          <w:color w:val="000000"/>
          <w:sz w:val="32"/>
          <w:szCs w:val="32"/>
          <w:lang w:eastAsia="zh-CN"/>
        </w:rPr>
        <w:t>0%的硕士研究生。</w:t>
      </w:r>
    </w:p>
    <w:p w14:paraId="382220D6">
      <w:pPr>
        <w:widowControl/>
        <w:tabs>
          <w:tab w:val="left" w:pos="900"/>
        </w:tabs>
        <w:spacing w:line="360" w:lineRule="auto"/>
        <w:ind w:left="330" w:firstLine="640" w:firstLineChars="200"/>
        <w:jc w:val="left"/>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 xml:space="preserve">2. </w:t>
      </w:r>
      <w:r>
        <w:rPr>
          <w:rFonts w:hint="eastAsia" w:ascii="仿宋_GB2312" w:hAnsi="宋体" w:eastAsia="仿宋_GB2312" w:cs="宋体"/>
          <w:color w:val="000000"/>
          <w:kern w:val="0"/>
          <w:sz w:val="32"/>
          <w:szCs w:val="32"/>
        </w:rPr>
        <w:t>评选细则</w:t>
      </w:r>
    </w:p>
    <w:p w14:paraId="052C247D">
      <w:pPr>
        <w:spacing w:line="360" w:lineRule="auto"/>
        <w:ind w:left="330" w:firstLine="640" w:firstLineChars="200"/>
        <w:rPr>
          <w:rFonts w:ascii="仿宋_GB2312" w:eastAsia="仿宋_GB2312"/>
          <w:color w:val="000000"/>
          <w:sz w:val="32"/>
          <w:szCs w:val="32"/>
        </w:rPr>
      </w:pPr>
      <w:r>
        <w:rPr>
          <w:rFonts w:hint="eastAsia" w:ascii="仿宋_GB2312" w:eastAsia="仿宋_GB2312"/>
          <w:color w:val="000000"/>
          <w:sz w:val="32"/>
          <w:szCs w:val="32"/>
        </w:rPr>
        <w:t>（1）综合奖学金面向高年级的研究生（一年级除外），每年评选一次，授予在校期间综合表现优异的研究生。</w:t>
      </w:r>
      <w:r>
        <w:rPr>
          <w:rFonts w:hint="eastAsia" w:ascii="仿宋_GB2312" w:eastAsia="仿宋_GB2312"/>
          <w:color w:val="000000"/>
          <w:sz w:val="32"/>
          <w:szCs w:val="32"/>
          <w:lang w:bidi="ar"/>
        </w:rPr>
        <w:t>在满足学校评审条件后，</w:t>
      </w:r>
      <w:r>
        <w:rPr>
          <w:color w:val="000000"/>
          <w:sz w:val="24"/>
        </w:rPr>
        <w:t>采</w:t>
      </w:r>
      <w:r>
        <w:rPr>
          <w:rFonts w:ascii="仿宋_GB2312" w:eastAsia="仿宋_GB2312"/>
          <w:color w:val="000000"/>
          <w:sz w:val="32"/>
          <w:szCs w:val="32"/>
        </w:rPr>
        <w:t>用综合测评形式（100分），包括</w:t>
      </w:r>
      <w:r>
        <w:rPr>
          <w:rFonts w:hint="eastAsia" w:ascii="仿宋_GB2312" w:eastAsia="仿宋_GB2312"/>
          <w:color w:val="000000"/>
          <w:sz w:val="32"/>
          <w:szCs w:val="32"/>
        </w:rPr>
        <w:t>以下</w:t>
      </w:r>
      <w:r>
        <w:rPr>
          <w:rFonts w:ascii="仿宋_GB2312" w:eastAsia="仿宋_GB2312"/>
          <w:color w:val="000000"/>
          <w:sz w:val="32"/>
          <w:szCs w:val="32"/>
        </w:rPr>
        <w:t>方面：</w:t>
      </w:r>
    </w:p>
    <w:p w14:paraId="0D7B89FD">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A</w:t>
      </w:r>
      <w:r>
        <w:rPr>
          <w:rFonts w:ascii="仿宋_GB2312" w:eastAsia="仿宋_GB2312"/>
          <w:color w:val="000000"/>
          <w:sz w:val="32"/>
          <w:szCs w:val="32"/>
        </w:rPr>
        <w:t>）政治思想表现（10%）</w:t>
      </w:r>
    </w:p>
    <w:p w14:paraId="6ACB42A7">
      <w:pPr>
        <w:spacing w:line="360" w:lineRule="auto"/>
        <w:ind w:left="330" w:firstLine="800" w:firstLineChars="250"/>
        <w:rPr>
          <w:rFonts w:ascii="仿宋_GB2312" w:eastAsia="仿宋_GB2312"/>
          <w:color w:val="000000"/>
          <w:sz w:val="32"/>
          <w:szCs w:val="32"/>
        </w:rPr>
      </w:pPr>
      <w:r>
        <w:rPr>
          <w:rFonts w:ascii="仿宋_GB2312" w:eastAsia="仿宋_GB2312"/>
          <w:color w:val="000000"/>
          <w:sz w:val="32"/>
          <w:szCs w:val="32"/>
        </w:rPr>
        <w:t>采取研究生互评方式，包括上课情况、年级活动、平时表现等（见附表）；</w:t>
      </w:r>
    </w:p>
    <w:p w14:paraId="37BABC24">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B</w:t>
      </w:r>
      <w:r>
        <w:rPr>
          <w:rFonts w:ascii="仿宋_GB2312" w:eastAsia="仿宋_GB2312"/>
          <w:color w:val="000000"/>
          <w:sz w:val="32"/>
          <w:szCs w:val="32"/>
        </w:rPr>
        <w:t>）学习成绩（40%）</w:t>
      </w:r>
    </w:p>
    <w:p w14:paraId="7E15D6AE">
      <w:pPr>
        <w:spacing w:line="360" w:lineRule="auto"/>
        <w:ind w:left="330" w:firstLine="800" w:firstLineChars="250"/>
        <w:rPr>
          <w:rFonts w:ascii="仿宋_GB2312" w:eastAsia="仿宋_GB2312"/>
          <w:color w:val="000000"/>
          <w:sz w:val="32"/>
          <w:szCs w:val="32"/>
        </w:rPr>
      </w:pPr>
      <w:r>
        <w:rPr>
          <w:rFonts w:hint="eastAsia" w:ascii="仿宋_GB2312" w:eastAsia="仿宋_GB2312"/>
          <w:color w:val="000000"/>
          <w:sz w:val="32"/>
          <w:szCs w:val="32"/>
        </w:rPr>
        <w:t>指</w:t>
      </w:r>
      <w:r>
        <w:rPr>
          <w:rFonts w:ascii="仿宋_GB2312" w:eastAsia="仿宋_GB2312"/>
          <w:color w:val="000000"/>
          <w:sz w:val="32"/>
          <w:szCs w:val="32"/>
        </w:rPr>
        <w:t>学位课程课程成绩</w:t>
      </w:r>
      <w:r>
        <w:rPr>
          <w:rFonts w:hint="eastAsia" w:ascii="仿宋_GB2312" w:eastAsia="仿宋_GB2312"/>
          <w:color w:val="000000"/>
          <w:sz w:val="32"/>
          <w:szCs w:val="32"/>
        </w:rPr>
        <w:t>，</w:t>
      </w:r>
      <w:r>
        <w:rPr>
          <w:rFonts w:ascii="仿宋_GB2312" w:eastAsia="仿宋_GB2312"/>
          <w:color w:val="000000"/>
          <w:sz w:val="32"/>
          <w:szCs w:val="32"/>
        </w:rPr>
        <w:t>综合评定（见附表）；</w:t>
      </w:r>
    </w:p>
    <w:p w14:paraId="26AFE459">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C</w:t>
      </w:r>
      <w:r>
        <w:rPr>
          <w:rFonts w:ascii="仿宋_GB2312" w:eastAsia="仿宋_GB2312"/>
          <w:color w:val="000000"/>
          <w:sz w:val="32"/>
          <w:szCs w:val="32"/>
        </w:rPr>
        <w:t>）科研情况（40%）</w:t>
      </w:r>
    </w:p>
    <w:p w14:paraId="2DEB73AA">
      <w:pPr>
        <w:spacing w:line="360" w:lineRule="auto"/>
        <w:ind w:left="330" w:firstLine="800" w:firstLineChars="250"/>
        <w:rPr>
          <w:rFonts w:ascii="仿宋_GB2312" w:eastAsia="仿宋_GB2312"/>
          <w:color w:val="000000"/>
          <w:sz w:val="32"/>
          <w:szCs w:val="32"/>
        </w:rPr>
      </w:pPr>
      <w:r>
        <w:rPr>
          <w:rFonts w:ascii="仿宋_GB2312" w:eastAsia="仿宋_GB2312"/>
          <w:color w:val="000000"/>
          <w:sz w:val="32"/>
          <w:szCs w:val="32"/>
        </w:rPr>
        <w:t>结合发表论文情况</w:t>
      </w:r>
      <w:r>
        <w:rPr>
          <w:rFonts w:hint="eastAsia" w:ascii="仿宋_GB2312" w:eastAsia="仿宋_GB2312"/>
          <w:color w:val="000000"/>
          <w:sz w:val="32"/>
          <w:szCs w:val="32"/>
        </w:rPr>
        <w:t>、</w:t>
      </w:r>
      <w:r>
        <w:rPr>
          <w:rFonts w:ascii="仿宋_GB2312" w:eastAsia="仿宋_GB2312"/>
          <w:color w:val="000000"/>
          <w:sz w:val="32"/>
          <w:szCs w:val="32"/>
        </w:rPr>
        <w:t>专利和</w:t>
      </w:r>
      <w:r>
        <w:rPr>
          <w:rFonts w:hint="eastAsia" w:ascii="仿宋_GB2312" w:eastAsia="仿宋_GB2312"/>
          <w:color w:val="000000"/>
          <w:sz w:val="32"/>
          <w:szCs w:val="32"/>
        </w:rPr>
        <w:t>教科研获奖</w:t>
      </w:r>
      <w:r>
        <w:rPr>
          <w:rFonts w:ascii="仿宋_GB2312" w:eastAsia="仿宋_GB2312"/>
          <w:color w:val="000000"/>
          <w:sz w:val="32"/>
          <w:szCs w:val="32"/>
        </w:rPr>
        <w:t>情况（见附表）。</w:t>
      </w:r>
    </w:p>
    <w:p w14:paraId="643954BB">
      <w:pPr>
        <w:spacing w:line="360" w:lineRule="auto"/>
        <w:ind w:left="330"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D</w:t>
      </w:r>
      <w:r>
        <w:rPr>
          <w:rFonts w:ascii="仿宋_GB2312" w:eastAsia="仿宋_GB2312"/>
          <w:color w:val="000000"/>
          <w:sz w:val="32"/>
          <w:szCs w:val="32"/>
        </w:rPr>
        <w:t>）其他加分（10%）</w:t>
      </w:r>
    </w:p>
    <w:p w14:paraId="2FD3A213">
      <w:pPr>
        <w:spacing w:line="360" w:lineRule="auto"/>
        <w:ind w:left="330"/>
        <w:rPr>
          <w:rFonts w:hint="eastAsia" w:ascii="仿宋_GB2312" w:eastAsia="仿宋_GB2312"/>
          <w:color w:val="000000"/>
          <w:sz w:val="32"/>
          <w:szCs w:val="32"/>
        </w:rPr>
      </w:pPr>
      <w:r>
        <w:rPr>
          <w:rFonts w:ascii="仿宋_GB2312" w:eastAsia="仿宋_GB2312"/>
          <w:color w:val="000000"/>
          <w:sz w:val="32"/>
          <w:szCs w:val="32"/>
        </w:rPr>
        <w:t xml:space="preserve">     主要是</w:t>
      </w:r>
      <w:r>
        <w:rPr>
          <w:rFonts w:hint="eastAsia" w:ascii="仿宋_GB2312" w:eastAsia="仿宋_GB2312"/>
          <w:color w:val="000000"/>
          <w:sz w:val="32"/>
          <w:szCs w:val="32"/>
        </w:rPr>
        <w:t>学科竞赛</w:t>
      </w:r>
      <w:r>
        <w:rPr>
          <w:rFonts w:ascii="仿宋_GB2312" w:eastAsia="仿宋_GB2312"/>
          <w:color w:val="000000"/>
          <w:sz w:val="32"/>
          <w:szCs w:val="32"/>
        </w:rPr>
        <w:t>获奖、</w:t>
      </w:r>
      <w:r>
        <w:rPr>
          <w:rFonts w:hint="eastAsia" w:ascii="仿宋_GB2312" w:eastAsia="仿宋_GB2312"/>
          <w:color w:val="000000"/>
          <w:sz w:val="32"/>
          <w:szCs w:val="32"/>
        </w:rPr>
        <w:t>学生</w:t>
      </w:r>
      <w:r>
        <w:rPr>
          <w:rFonts w:ascii="仿宋_GB2312" w:eastAsia="仿宋_GB2312"/>
          <w:color w:val="000000"/>
          <w:sz w:val="32"/>
          <w:szCs w:val="32"/>
        </w:rPr>
        <w:t>干部加分等（见附表）。</w:t>
      </w:r>
    </w:p>
    <w:p w14:paraId="6F53B0ED">
      <w:pPr>
        <w:spacing w:line="360" w:lineRule="auto"/>
        <w:ind w:left="330"/>
        <w:rPr>
          <w:rFonts w:ascii="仿宋_GB2312" w:eastAsia="仿宋_GB2312"/>
          <w:color w:val="000000"/>
          <w:sz w:val="32"/>
          <w:szCs w:val="32"/>
        </w:rPr>
      </w:pPr>
      <w:r>
        <w:rPr>
          <w:rFonts w:hint="eastAsia" w:ascii="仿宋_GB2312" w:eastAsia="仿宋_GB2312"/>
          <w:color w:val="000000"/>
          <w:sz w:val="32"/>
          <w:szCs w:val="32"/>
        </w:rPr>
        <w:t xml:space="preserve">    3.</w:t>
      </w:r>
      <w:r>
        <w:rPr>
          <w:color w:val="000000"/>
        </w:rPr>
        <w:t xml:space="preserve"> </w:t>
      </w:r>
      <w:r>
        <w:rPr>
          <w:rFonts w:hint="eastAsia" w:ascii="仿宋_GB2312" w:eastAsia="仿宋_GB2312"/>
          <w:color w:val="000000"/>
          <w:sz w:val="32"/>
          <w:szCs w:val="32"/>
        </w:rPr>
        <w:t>一等综合奖学金获得者除满足本办法第三条以外，还须满足：</w:t>
      </w:r>
      <w:r>
        <w:rPr>
          <w:rFonts w:ascii="仿宋_GB2312" w:eastAsia="仿宋_GB2312"/>
          <w:color w:val="000000"/>
          <w:sz w:val="32"/>
          <w:szCs w:val="32"/>
        </w:rPr>
        <w:t>获得1项较突出的与专业相关的实践成果(校级以上成果须获得二等奖以上，省部级以上成果须获得三等奖以上</w:t>
      </w:r>
      <w:r>
        <w:rPr>
          <w:rFonts w:hint="eastAsia" w:ascii="仿宋_GB2312" w:eastAsia="仿宋_GB2312"/>
          <w:color w:val="000000"/>
          <w:sz w:val="32"/>
          <w:szCs w:val="32"/>
        </w:rPr>
        <w:t>；</w:t>
      </w:r>
      <w:r>
        <w:rPr>
          <w:rFonts w:ascii="仿宋_GB2312" w:eastAsia="仿宋_GB2312"/>
          <w:color w:val="000000"/>
          <w:sz w:val="32"/>
          <w:szCs w:val="32"/>
        </w:rPr>
        <w:t>在区分成员排名的成果中，授权专利、软件著作权和市厅级以上智库成果须排名前</w:t>
      </w:r>
      <w:r>
        <w:rPr>
          <w:rFonts w:hint="eastAsia" w:ascii="仿宋_GB2312" w:eastAsia="仿宋_GB2312"/>
          <w:color w:val="000000"/>
          <w:sz w:val="32"/>
          <w:szCs w:val="32"/>
        </w:rPr>
        <w:t>二</w:t>
      </w:r>
      <w:r>
        <w:rPr>
          <w:rFonts w:ascii="仿宋_GB2312" w:eastAsia="仿宋_GB2312"/>
          <w:color w:val="000000"/>
          <w:sz w:val="32"/>
          <w:szCs w:val="32"/>
        </w:rPr>
        <w:t>,其他校级以上成果须排名第</w:t>
      </w:r>
      <w:r>
        <w:rPr>
          <w:rFonts w:hint="eastAsia" w:ascii="仿宋_GB2312" w:eastAsia="仿宋_GB2312"/>
          <w:color w:val="000000"/>
          <w:sz w:val="32"/>
          <w:szCs w:val="32"/>
        </w:rPr>
        <w:t>一、</w:t>
      </w:r>
      <w:r>
        <w:rPr>
          <w:rFonts w:ascii="仿宋_GB2312" w:eastAsia="仿宋_GB2312"/>
          <w:color w:val="000000"/>
          <w:sz w:val="32"/>
          <w:szCs w:val="32"/>
        </w:rPr>
        <w:t>省部级以上成果须排名前三</w:t>
      </w:r>
      <w:r>
        <w:rPr>
          <w:rFonts w:hint="eastAsia" w:ascii="仿宋_GB2312" w:eastAsia="仿宋_GB2312"/>
          <w:color w:val="000000"/>
          <w:sz w:val="32"/>
          <w:szCs w:val="32"/>
        </w:rPr>
        <w:t>；</w:t>
      </w:r>
      <w:r>
        <w:rPr>
          <w:rFonts w:ascii="仿宋_GB2312" w:eastAsia="仿宋_GB2312"/>
          <w:color w:val="000000"/>
          <w:sz w:val="32"/>
          <w:szCs w:val="32"/>
        </w:rPr>
        <w:t>对于未明确设置奖项等级的专业比赛，由学院研究生奖助学金评审委员会对其获奖等级做出书面认定)或在三类以上学术期刊公开发表与本专业相关的学术论文1篇(三类论文须申请人为第一作者;二类以上论文须申请人为第一作者， 或申请人为第二作者且其导师为第一作者) 。</w:t>
      </w:r>
    </w:p>
    <w:p w14:paraId="2EF9CBC8">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（三）</w:t>
      </w:r>
      <w:r>
        <w:rPr>
          <w:rFonts w:hint="eastAsia" w:ascii="仿宋_GB2312" w:eastAsia="仿宋_GB2312"/>
          <w:color w:val="000000"/>
          <w:sz w:val="32"/>
          <w:szCs w:val="32"/>
        </w:rPr>
        <w:t>单项奖学金</w:t>
      </w:r>
    </w:p>
    <w:p w14:paraId="0C29CFFE">
      <w:pPr>
        <w:pStyle w:val="7"/>
        <w:spacing w:line="360" w:lineRule="auto"/>
        <w:rPr>
          <w:rFonts w:hint="eastAsia" w:ascii="仿宋_GB2312" w:eastAsia="仿宋_GB2312"/>
          <w:color w:val="000000"/>
          <w:sz w:val="32"/>
          <w:szCs w:val="32"/>
        </w:rPr>
      </w:pPr>
      <w:r>
        <w:rPr>
          <w:rFonts w:hint="eastAsia" w:ascii="仿宋_GB2312" w:eastAsia="仿宋_GB2312"/>
          <w:color w:val="000000"/>
          <w:sz w:val="32"/>
          <w:szCs w:val="32"/>
        </w:rPr>
        <w:t xml:space="preserve">    参评单项奖学金，根据《淮北师范大学研究生学业奖学金实施办法（修订）》（校研字〔2020〕27号）规定办理。按照国家“破五唯”的要求，不得申报论文、专利相关的单项奖学金。</w:t>
      </w:r>
    </w:p>
    <w:p w14:paraId="71469645">
      <w:pPr>
        <w:pStyle w:val="7"/>
        <w:spacing w:before="0" w:beforeAutospacing="0" w:after="0" w:afterAutospacing="0" w:line="360"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（四）</w:t>
      </w:r>
      <w:r>
        <w:rPr>
          <w:rFonts w:hint="eastAsia" w:ascii="仿宋_GB2312" w:eastAsia="仿宋_GB2312"/>
          <w:color w:val="000000"/>
          <w:sz w:val="32"/>
          <w:szCs w:val="32"/>
        </w:rPr>
        <w:t>社会捐助</w:t>
      </w:r>
    </w:p>
    <w:p w14:paraId="29773878">
      <w:pPr>
        <w:pStyle w:val="7"/>
        <w:spacing w:before="0" w:beforeAutospacing="0" w:after="0" w:afterAutospacing="0" w:line="360" w:lineRule="auto"/>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按照捐助单位要求，不定期奖励或资助优秀研究生。具体奖助标准或评定办法由设奖单位制定。</w:t>
      </w:r>
    </w:p>
    <w:p w14:paraId="12833FFF">
      <w:pPr>
        <w:widowControl/>
        <w:spacing w:line="360" w:lineRule="auto"/>
        <w:ind w:left="330" w:firstLine="643"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第九条  </w:t>
      </w:r>
      <w:r>
        <w:rPr>
          <w:rFonts w:hint="eastAsia" w:ascii="仿宋_GB2312" w:hAnsi="宋体" w:eastAsia="仿宋_GB2312" w:cs="宋体"/>
          <w:color w:val="000000"/>
          <w:kern w:val="0"/>
          <w:sz w:val="32"/>
          <w:szCs w:val="32"/>
        </w:rPr>
        <w:t xml:space="preserve">有以下情况之一者，当年不得参评研究生学业奖学金： </w:t>
      </w:r>
    </w:p>
    <w:p w14:paraId="0E253A76">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（一）</w:t>
      </w:r>
      <w:r>
        <w:rPr>
          <w:rFonts w:hint="eastAsia" w:ascii="仿宋_GB2312" w:hAnsi="宋体" w:eastAsia="仿宋_GB2312"/>
          <w:color w:val="000000"/>
          <w:sz w:val="32"/>
          <w:szCs w:val="32"/>
        </w:rPr>
        <w:t>有违法、违纪、违规行为者；</w:t>
      </w:r>
    </w:p>
    <w:p w14:paraId="15034A34">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（二）参评学年</w:t>
      </w:r>
      <w:r>
        <w:rPr>
          <w:rFonts w:hint="eastAsia" w:ascii="仿宋_GB2312" w:hAnsi="宋体" w:eastAsia="仿宋_GB2312"/>
          <w:color w:val="000000"/>
          <w:sz w:val="32"/>
          <w:szCs w:val="32"/>
        </w:rPr>
        <w:t>有课程成绩不合格者；</w:t>
      </w:r>
    </w:p>
    <w:p w14:paraId="5BB6E976">
      <w:pPr>
        <w:spacing w:line="360" w:lineRule="auto"/>
        <w:ind w:left="33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（三）中期考核不合格者；</w:t>
      </w:r>
    </w:p>
    <w:p w14:paraId="4D494F78">
      <w:pPr>
        <w:spacing w:line="360" w:lineRule="auto"/>
        <w:ind w:left="330"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（四）</w:t>
      </w:r>
      <w:r>
        <w:rPr>
          <w:rFonts w:hint="eastAsia" w:ascii="仿宋_GB2312" w:hAnsi="宋体" w:eastAsia="仿宋_GB2312"/>
          <w:color w:val="000000"/>
          <w:sz w:val="32"/>
          <w:szCs w:val="32"/>
        </w:rPr>
        <w:t>在科学研究和学术活动中有违反学术道德和学术不端行为者。</w:t>
      </w:r>
    </w:p>
    <w:p w14:paraId="7EAC50FC">
      <w:pPr>
        <w:pStyle w:val="7"/>
        <w:spacing w:before="0" w:beforeAutospacing="0" w:after="0" w:afterAutospacing="0" w:line="360" w:lineRule="auto"/>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第四章  评审程序</w:t>
      </w:r>
    </w:p>
    <w:p w14:paraId="34DC9449">
      <w:pPr>
        <w:spacing w:line="360" w:lineRule="auto"/>
        <w:ind w:left="330" w:firstLine="643" w:firstLineChars="200"/>
        <w:rPr>
          <w:rFonts w:hint="eastAsia" w:ascii="仿宋_GB2312" w:hAnsi="宋体" w:eastAsia="仿宋_GB2312"/>
          <w:color w:val="000000"/>
          <w:sz w:val="32"/>
          <w:szCs w:val="32"/>
        </w:rPr>
      </w:pPr>
      <w:r>
        <w:rPr>
          <w:rFonts w:hint="eastAsia" w:ascii="仿宋_GB2312" w:hAnsi="宋体" w:eastAsia="仿宋_GB2312" w:cs="宋体"/>
          <w:b/>
          <w:color w:val="000000"/>
          <w:kern w:val="0"/>
          <w:sz w:val="32"/>
          <w:szCs w:val="32"/>
        </w:rPr>
        <w:t xml:space="preserve">第十条  </w:t>
      </w:r>
      <w:r>
        <w:rPr>
          <w:rFonts w:hint="eastAsia" w:ascii="仿宋_GB2312" w:hAnsi="宋体" w:eastAsia="仿宋_GB2312"/>
          <w:color w:val="000000"/>
          <w:sz w:val="32"/>
          <w:szCs w:val="32"/>
        </w:rPr>
        <w:t>各培养学院评审委员会组织实施初步评选工作，初评结果在本单位范围内公示不少于5个工作日。公示无异议后，提交学校研究生奖助学金评审委员会复审、复评，复评结果在全院范围内公示不少于5个工作日。学校研究生奖助学金评审领导小组审定获奖名单后，报上级主管部门审批。</w:t>
      </w:r>
    </w:p>
    <w:p w14:paraId="6C7AE897">
      <w:pPr>
        <w:spacing w:line="360" w:lineRule="auto"/>
        <w:ind w:left="330"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第十一条</w:t>
      </w:r>
      <w:r>
        <w:rPr>
          <w:rFonts w:hint="eastAsia" w:ascii="仿宋_GB2312" w:hAnsi="宋体" w:eastAsia="仿宋_GB2312"/>
          <w:color w:val="000000"/>
          <w:sz w:val="32"/>
          <w:szCs w:val="32"/>
        </w:rPr>
        <w:t xml:space="preserve">  </w:t>
      </w:r>
      <w:r>
        <w:rPr>
          <w:rFonts w:hint="eastAsia" w:ascii="仿宋_GB2312" w:hAnsi="宋体" w:eastAsia="仿宋_GB2312" w:cs="宋体"/>
          <w:color w:val="000000"/>
          <w:kern w:val="0"/>
          <w:sz w:val="32"/>
          <w:szCs w:val="32"/>
        </w:rPr>
        <w:t>评选工作本着“公平、公开、公正”的原则开展。对研究生学业奖学金评审结果有异议的，可在学院公示阶段向所在学院评审委员会提出申诉，学院评审委员会应及时研究并予以答复。如申诉人对学院做出的答复仍存在异议，可在学校公示阶段向学校研究生奖助学金评审领导小组提出裁决。</w:t>
      </w:r>
    </w:p>
    <w:p w14:paraId="3828440E">
      <w:pPr>
        <w:pStyle w:val="7"/>
        <w:spacing w:before="0" w:beforeAutospacing="0" w:after="0" w:afterAutospacing="0" w:line="360" w:lineRule="auto"/>
        <w:ind w:left="330"/>
        <w:jc w:val="center"/>
        <w:rPr>
          <w:rFonts w:hint="eastAsia" w:ascii="仿宋_GB2312" w:eastAsia="仿宋_GB2312" w:cs="Arial"/>
          <w:b/>
          <w:bCs/>
          <w:color w:val="000000"/>
          <w:sz w:val="32"/>
          <w:szCs w:val="32"/>
        </w:rPr>
      </w:pPr>
      <w:r>
        <w:rPr>
          <w:rFonts w:hint="eastAsia" w:ascii="仿宋_GB2312" w:eastAsia="仿宋_GB2312" w:cs="Arial"/>
          <w:b/>
          <w:bCs/>
          <w:color w:val="000000"/>
          <w:sz w:val="32"/>
          <w:szCs w:val="32"/>
        </w:rPr>
        <w:t>第五章  附 则</w:t>
      </w:r>
    </w:p>
    <w:p w14:paraId="2954A8B6">
      <w:pPr>
        <w:widowControl/>
        <w:shd w:val="clear" w:color="auto" w:fill="FFFFFF"/>
        <w:spacing w:line="360" w:lineRule="auto"/>
        <w:ind w:left="330"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第十二条  </w:t>
      </w:r>
      <w:r>
        <w:rPr>
          <w:rFonts w:hint="eastAsia" w:ascii="仿宋_GB2312" w:hAnsi="宋体" w:eastAsia="仿宋_GB2312"/>
          <w:color w:val="000000"/>
          <w:sz w:val="32"/>
          <w:szCs w:val="32"/>
        </w:rPr>
        <w:t>所有成果在研究生各类奖学金评审中不得重复使用。</w:t>
      </w:r>
    </w:p>
    <w:p w14:paraId="5B432B14">
      <w:pPr>
        <w:widowControl/>
        <w:shd w:val="clear" w:color="auto" w:fill="FFFFFF"/>
        <w:spacing w:line="360" w:lineRule="auto"/>
        <w:ind w:left="330" w:firstLine="643"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第十三条</w:t>
      </w:r>
      <w:r>
        <w:rPr>
          <w:rFonts w:hint="eastAsia" w:ascii="仿宋_GB2312" w:hAnsi="宋体" w:eastAsia="仿宋_GB2312" w:cs="宋体"/>
          <w:color w:val="000000"/>
          <w:kern w:val="0"/>
          <w:sz w:val="32"/>
          <w:szCs w:val="32"/>
        </w:rPr>
        <w:t xml:space="preserve">  本办法中所列条款如与上级文件规定不一致时，按上级文件规定执行。</w:t>
      </w:r>
    </w:p>
    <w:p w14:paraId="6D56CE07">
      <w:pPr>
        <w:spacing w:line="360" w:lineRule="auto"/>
        <w:ind w:left="330" w:firstLine="643" w:firstLineChars="200"/>
        <w:rPr>
          <w:rFonts w:hint="eastAsia" w:ascii="仿宋_GB2312" w:hAnsi="宋体" w:eastAsia="仿宋_GB2312" w:cs="宋体"/>
          <w:color w:val="000000"/>
          <w:kern w:val="0"/>
          <w:sz w:val="32"/>
          <w:szCs w:val="32"/>
        </w:rPr>
      </w:pPr>
      <w:r>
        <w:rPr>
          <w:rFonts w:hint="eastAsia" w:ascii="仿宋_GB2312" w:hAnsi="宋体" w:eastAsia="仿宋_GB2312"/>
          <w:b/>
          <w:color w:val="000000"/>
          <w:sz w:val="32"/>
          <w:szCs w:val="32"/>
        </w:rPr>
        <w:t>第十四条</w:t>
      </w:r>
      <w:r>
        <w:rPr>
          <w:rFonts w:hint="eastAsia" w:ascii="仿宋_GB2312" w:hAnsi="宋体" w:eastAsia="仿宋_GB2312" w:cs="宋体"/>
          <w:color w:val="000000"/>
          <w:kern w:val="0"/>
          <w:sz w:val="32"/>
          <w:szCs w:val="32"/>
        </w:rPr>
        <w:t xml:space="preserve">  本办法自公布之日起执行，由学院研究生奖助学金评审委员会负责解释。</w:t>
      </w:r>
    </w:p>
    <w:p w14:paraId="6FBF40FD">
      <w:pPr>
        <w:spacing w:line="360" w:lineRule="auto"/>
        <w:ind w:left="155" w:leftChars="74"/>
        <w:rPr>
          <w:rFonts w:hint="eastAsia" w:ascii="仿宋_GB2312" w:hAnsi="宋体" w:eastAsia="仿宋_GB2312" w:cs="宋体"/>
          <w:color w:val="000000"/>
          <w:kern w:val="0"/>
          <w:sz w:val="32"/>
          <w:szCs w:val="32"/>
        </w:rPr>
      </w:pPr>
    </w:p>
    <w:p w14:paraId="065E8B16">
      <w:pPr>
        <w:spacing w:line="360" w:lineRule="auto"/>
        <w:ind w:left="155" w:leftChars="74" w:firstLine="4960" w:firstLineChars="15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生命科学学院</w:t>
      </w:r>
      <w:r>
        <w:rPr>
          <w:rFonts w:hint="eastAsia" w:ascii="仿宋_GB2312" w:hAnsi="宋体" w:eastAsia="仿宋_GB2312" w:cs="宋体"/>
          <w:color w:val="000000"/>
          <w:kern w:val="0"/>
          <w:sz w:val="32"/>
          <w:szCs w:val="32"/>
        </w:rPr>
        <w:t>党委</w:t>
      </w:r>
    </w:p>
    <w:p w14:paraId="6E70F462">
      <w:pPr>
        <w:ind w:left="330" w:firstLine="4480" w:firstLineChars="1400"/>
        <w:rPr>
          <w:rFonts w:hint="eastAsia" w:ascii="仿宋_GB2312" w:eastAsia="仿宋_GB2312"/>
          <w:color w:val="000000"/>
          <w:sz w:val="32"/>
          <w:szCs w:val="32"/>
        </w:rPr>
      </w:pPr>
      <w:r>
        <w:rPr>
          <w:rFonts w:ascii="仿宋_GB2312" w:hAnsi="宋体" w:eastAsia="仿宋_GB2312" w:cs="宋体"/>
          <w:kern w:val="0"/>
          <w:sz w:val="32"/>
          <w:szCs w:val="32"/>
        </w:rPr>
        <w:t>二○二</w:t>
      </w:r>
      <w:r>
        <w:rPr>
          <w:rFonts w:hint="eastAsia" w:ascii="仿宋_GB2312" w:hAnsi="宋体" w:eastAsia="仿宋_GB2312" w:cs="宋体"/>
          <w:kern w:val="0"/>
          <w:sz w:val="32"/>
          <w:szCs w:val="32"/>
        </w:rPr>
        <w:t>五</w:t>
      </w:r>
      <w:r>
        <w:rPr>
          <w:rFonts w:ascii="仿宋_GB2312" w:hAnsi="宋体" w:eastAsia="仿宋_GB2312" w:cs="宋体"/>
          <w:kern w:val="0"/>
          <w:sz w:val="32"/>
          <w:szCs w:val="32"/>
        </w:rPr>
        <w:t>年</w:t>
      </w:r>
      <w:r>
        <w:rPr>
          <w:rFonts w:hint="eastAsia" w:ascii="仿宋_GB2312" w:hAnsi="宋体" w:eastAsia="仿宋_GB2312" w:cs="宋体"/>
          <w:kern w:val="0"/>
          <w:sz w:val="32"/>
          <w:szCs w:val="32"/>
        </w:rPr>
        <w:t>九月十六</w:t>
      </w:r>
      <w:r>
        <w:rPr>
          <w:rFonts w:ascii="仿宋_GB2312" w:hAnsi="宋体" w:eastAsia="仿宋_GB2312" w:cs="宋体"/>
          <w:kern w:val="0"/>
          <w:sz w:val="32"/>
          <w:szCs w:val="32"/>
        </w:rPr>
        <w:t>日</w:t>
      </w:r>
    </w:p>
    <w:p w14:paraId="0F73D702">
      <w:pPr>
        <w:ind w:left="0" w:leftChars="0"/>
        <w:rPr>
          <w:rFonts w:hint="eastAsia" w:ascii="仿宋_GB2312" w:eastAsia="仿宋_GB2312"/>
          <w:color w:val="000000"/>
          <w:sz w:val="32"/>
          <w:szCs w:val="32"/>
        </w:rPr>
      </w:pPr>
    </w:p>
    <w:p w14:paraId="5E166CCB">
      <w:pPr>
        <w:ind w:left="0" w:leftChars="0"/>
        <w:rPr>
          <w:rFonts w:hint="eastAsia" w:ascii="仿宋_GB2312" w:eastAsia="仿宋_GB2312"/>
          <w:color w:val="000000"/>
          <w:sz w:val="32"/>
          <w:szCs w:val="32"/>
        </w:rPr>
      </w:pPr>
    </w:p>
    <w:p w14:paraId="5A45BFF3">
      <w:pPr>
        <w:ind w:left="0" w:leftChars="0"/>
        <w:rPr>
          <w:rFonts w:hint="eastAsia" w:ascii="仿宋_GB2312" w:eastAsia="仿宋_GB2312"/>
          <w:color w:val="000000"/>
          <w:sz w:val="32"/>
          <w:szCs w:val="32"/>
        </w:rPr>
      </w:pPr>
    </w:p>
    <w:p w14:paraId="322DE31E">
      <w:pPr>
        <w:ind w:left="0" w:leftChars="0"/>
        <w:rPr>
          <w:rFonts w:hint="eastAsia" w:ascii="仿宋_GB2312" w:eastAsia="仿宋_GB2312"/>
          <w:color w:val="000000"/>
          <w:sz w:val="32"/>
          <w:szCs w:val="32"/>
        </w:rPr>
      </w:pPr>
    </w:p>
    <w:p w14:paraId="0324EA6C">
      <w:pPr>
        <w:ind w:left="0" w:leftChars="0"/>
        <w:rPr>
          <w:rFonts w:hint="eastAsia" w:ascii="仿宋_GB2312" w:eastAsia="仿宋_GB2312"/>
          <w:color w:val="000000"/>
          <w:sz w:val="32"/>
          <w:szCs w:val="32"/>
        </w:rPr>
      </w:pPr>
    </w:p>
    <w:p w14:paraId="6F284FB4">
      <w:pPr>
        <w:ind w:left="0" w:leftChars="0"/>
        <w:rPr>
          <w:rFonts w:hint="eastAsia" w:ascii="仿宋_GB2312" w:eastAsia="仿宋_GB2312"/>
          <w:color w:val="000000"/>
          <w:sz w:val="32"/>
          <w:szCs w:val="32"/>
        </w:rPr>
      </w:pPr>
    </w:p>
    <w:p w14:paraId="5A903873">
      <w:pPr>
        <w:ind w:left="0" w:leftChars="0"/>
        <w:rPr>
          <w:rFonts w:hint="eastAsia" w:ascii="仿宋_GB2312" w:eastAsia="仿宋_GB2312"/>
          <w:color w:val="000000"/>
          <w:sz w:val="32"/>
          <w:szCs w:val="32"/>
        </w:rPr>
      </w:pPr>
    </w:p>
    <w:p w14:paraId="78ED983F">
      <w:pPr>
        <w:adjustRightInd w:val="0"/>
        <w:snapToGrid w:val="0"/>
        <w:spacing w:before="312" w:beforeLines="100" w:after="312" w:afterLines="100"/>
        <w:ind w:left="330"/>
        <w:jc w:val="center"/>
        <w:rPr>
          <w:rFonts w:hint="eastAsia"/>
          <w:b/>
          <w:bCs/>
          <w:sz w:val="32"/>
        </w:rPr>
      </w:pPr>
      <w:r>
        <w:rPr>
          <w:rFonts w:hint="eastAsia"/>
          <w:b/>
          <w:bCs/>
          <w:sz w:val="32"/>
        </w:rPr>
        <w:t>资环研究</w:t>
      </w:r>
      <w:r>
        <w:rPr>
          <w:b/>
          <w:bCs/>
          <w:sz w:val="32"/>
        </w:rPr>
        <w:t>生</w:t>
      </w:r>
      <w:r>
        <w:rPr>
          <w:rFonts w:hint="eastAsia"/>
          <w:b/>
          <w:bCs/>
          <w:sz w:val="32"/>
        </w:rPr>
        <w:t>学业奖学金评审表</w:t>
      </w:r>
    </w:p>
    <w:tbl>
      <w:tblPr>
        <w:tblStyle w:val="8"/>
        <w:tblW w:w="528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53"/>
        <w:gridCol w:w="1136"/>
        <w:gridCol w:w="1637"/>
        <w:gridCol w:w="1353"/>
        <w:gridCol w:w="2453"/>
        <w:gridCol w:w="984"/>
      </w:tblGrid>
      <w:tr w14:paraId="0ACD1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11" w:type="pct"/>
            <w:noWrap w:val="0"/>
            <w:vAlign w:val="center"/>
          </w:tcPr>
          <w:p w14:paraId="6669CC09">
            <w:pPr>
              <w:adjustRightInd w:val="0"/>
              <w:snapToGrid w:val="0"/>
              <w:ind w:left="0" w:leftChars="0"/>
              <w:jc w:val="left"/>
              <w:rPr>
                <w:rFonts w:ascii="宋体"/>
                <w:sz w:val="24"/>
              </w:rPr>
            </w:pPr>
            <w:r>
              <w:rPr>
                <w:rFonts w:ascii="宋体"/>
                <w:sz w:val="24"/>
              </w:rPr>
              <w:t>姓</w:t>
            </w:r>
            <w:r>
              <w:rPr>
                <w:rFonts w:hint="eastAsia" w:ascii="宋体"/>
                <w:sz w:val="24"/>
              </w:rPr>
              <w:t xml:space="preserve">   </w:t>
            </w:r>
            <w:r>
              <w:rPr>
                <w:rFonts w:ascii="宋体"/>
                <w:sz w:val="24"/>
              </w:rPr>
              <w:t>名</w:t>
            </w:r>
          </w:p>
        </w:tc>
        <w:tc>
          <w:tcPr>
            <w:tcW w:w="644" w:type="pct"/>
            <w:noWrap w:val="0"/>
            <w:vAlign w:val="center"/>
          </w:tcPr>
          <w:p w14:paraId="646DF084">
            <w:pPr>
              <w:adjustRightInd w:val="0"/>
              <w:snapToGrid w:val="0"/>
              <w:ind w:left="330"/>
              <w:jc w:val="center"/>
              <w:rPr>
                <w:rFonts w:ascii="宋体"/>
                <w:sz w:val="24"/>
              </w:rPr>
            </w:pPr>
          </w:p>
        </w:tc>
        <w:tc>
          <w:tcPr>
            <w:tcW w:w="928" w:type="pct"/>
            <w:noWrap w:val="0"/>
            <w:vAlign w:val="center"/>
          </w:tcPr>
          <w:p w14:paraId="01D664EE">
            <w:pPr>
              <w:adjustRightInd w:val="0"/>
              <w:snapToGrid w:val="0"/>
              <w:ind w:left="330"/>
              <w:jc w:val="center"/>
              <w:rPr>
                <w:rFonts w:ascii="宋体"/>
                <w:sz w:val="24"/>
              </w:rPr>
            </w:pPr>
            <w:r>
              <w:rPr>
                <w:rFonts w:hint="eastAsia" w:ascii="宋体"/>
                <w:sz w:val="24"/>
              </w:rPr>
              <w:t>学科专业</w:t>
            </w:r>
          </w:p>
        </w:tc>
        <w:tc>
          <w:tcPr>
            <w:tcW w:w="767" w:type="pct"/>
            <w:noWrap w:val="0"/>
            <w:vAlign w:val="center"/>
          </w:tcPr>
          <w:p w14:paraId="5752F208">
            <w:pPr>
              <w:adjustRightInd w:val="0"/>
              <w:snapToGrid w:val="0"/>
              <w:ind w:left="330"/>
              <w:jc w:val="center"/>
              <w:rPr>
                <w:rFonts w:ascii="宋体"/>
                <w:sz w:val="24"/>
              </w:rPr>
            </w:pPr>
          </w:p>
        </w:tc>
        <w:tc>
          <w:tcPr>
            <w:tcW w:w="1389" w:type="pct"/>
            <w:noWrap w:val="0"/>
            <w:vAlign w:val="center"/>
          </w:tcPr>
          <w:p w14:paraId="1B0CDADF">
            <w:pPr>
              <w:adjustRightInd w:val="0"/>
              <w:snapToGrid w:val="0"/>
              <w:ind w:left="330"/>
              <w:jc w:val="center"/>
              <w:rPr>
                <w:rFonts w:hint="eastAsia" w:ascii="宋体"/>
                <w:sz w:val="24"/>
              </w:rPr>
            </w:pPr>
            <w:r>
              <w:rPr>
                <w:rFonts w:hint="eastAsia" w:ascii="宋体"/>
                <w:sz w:val="24"/>
              </w:rPr>
              <w:t>指导老师</w:t>
            </w:r>
          </w:p>
        </w:tc>
        <w:tc>
          <w:tcPr>
            <w:tcW w:w="557" w:type="pct"/>
            <w:noWrap w:val="0"/>
            <w:vAlign w:val="center"/>
          </w:tcPr>
          <w:p w14:paraId="4885B542">
            <w:pPr>
              <w:adjustRightInd w:val="0"/>
              <w:snapToGrid w:val="0"/>
              <w:ind w:left="330"/>
              <w:jc w:val="center"/>
              <w:rPr>
                <w:rFonts w:ascii="宋体"/>
                <w:sz w:val="24"/>
              </w:rPr>
            </w:pPr>
          </w:p>
        </w:tc>
      </w:tr>
      <w:tr w14:paraId="27B98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711" w:type="pct"/>
            <w:noWrap w:val="0"/>
            <w:vAlign w:val="center"/>
          </w:tcPr>
          <w:p w14:paraId="3985B2DD">
            <w:pPr>
              <w:adjustRightInd w:val="0"/>
              <w:snapToGrid w:val="0"/>
              <w:ind w:left="0" w:leftChars="0"/>
              <w:jc w:val="left"/>
              <w:rPr>
                <w:rFonts w:hint="eastAsia" w:ascii="宋体"/>
                <w:sz w:val="24"/>
              </w:rPr>
            </w:pPr>
            <w:r>
              <w:rPr>
                <w:rFonts w:hint="eastAsia" w:ascii="宋体"/>
                <w:sz w:val="24"/>
              </w:rPr>
              <w:t>评分内容</w:t>
            </w:r>
          </w:p>
        </w:tc>
        <w:tc>
          <w:tcPr>
            <w:tcW w:w="3730" w:type="pct"/>
            <w:gridSpan w:val="4"/>
            <w:noWrap w:val="0"/>
            <w:vAlign w:val="center"/>
          </w:tcPr>
          <w:p w14:paraId="1E623625">
            <w:pPr>
              <w:adjustRightInd w:val="0"/>
              <w:snapToGrid w:val="0"/>
              <w:ind w:left="330"/>
              <w:jc w:val="center"/>
              <w:rPr>
                <w:rFonts w:ascii="宋体"/>
                <w:sz w:val="24"/>
              </w:rPr>
            </w:pPr>
            <w:r>
              <w:rPr>
                <w:rFonts w:ascii="宋体"/>
                <w:sz w:val="24"/>
              </w:rPr>
              <w:t>评价</w:t>
            </w:r>
            <w:r>
              <w:rPr>
                <w:rFonts w:hint="eastAsia" w:ascii="宋体"/>
                <w:sz w:val="24"/>
              </w:rPr>
              <w:t>指标、评分</w:t>
            </w:r>
            <w:r>
              <w:rPr>
                <w:rFonts w:ascii="宋体"/>
                <w:sz w:val="24"/>
              </w:rPr>
              <w:t>标准</w:t>
            </w:r>
          </w:p>
        </w:tc>
        <w:tc>
          <w:tcPr>
            <w:tcW w:w="557" w:type="pct"/>
            <w:noWrap w:val="0"/>
            <w:vAlign w:val="center"/>
          </w:tcPr>
          <w:p w14:paraId="4EDBB6C4">
            <w:pPr>
              <w:adjustRightInd w:val="0"/>
              <w:snapToGrid w:val="0"/>
              <w:ind w:left="330"/>
              <w:jc w:val="center"/>
              <w:rPr>
                <w:rFonts w:hint="eastAsia" w:ascii="宋体"/>
                <w:sz w:val="24"/>
              </w:rPr>
            </w:pPr>
            <w:r>
              <w:rPr>
                <w:rFonts w:hint="eastAsia" w:ascii="宋体"/>
                <w:sz w:val="24"/>
              </w:rPr>
              <w:t>得分</w:t>
            </w:r>
          </w:p>
        </w:tc>
      </w:tr>
      <w:tr w14:paraId="10B79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69" w:hRule="atLeast"/>
        </w:trPr>
        <w:tc>
          <w:tcPr>
            <w:tcW w:w="711" w:type="pct"/>
            <w:noWrap w:val="0"/>
            <w:vAlign w:val="center"/>
          </w:tcPr>
          <w:p w14:paraId="6EB59E1A">
            <w:pPr>
              <w:pStyle w:val="15"/>
              <w:adjustRightInd w:val="0"/>
              <w:snapToGrid w:val="0"/>
              <w:spacing w:before="0" w:beforeAutospacing="0" w:after="0" w:afterAutospacing="0" w:line="240" w:lineRule="auto"/>
              <w:rPr>
                <w:rFonts w:ascii="宋体" w:hAnsi="宋体" w:eastAsia="宋体" w:cs="Times New Roman"/>
                <w:color w:val="auto"/>
                <w:kern w:val="2"/>
                <w:sz w:val="24"/>
                <w:szCs w:val="24"/>
              </w:rPr>
            </w:pPr>
            <w:r>
              <w:rPr>
                <w:rFonts w:hint="eastAsia"/>
                <w:color w:val="auto"/>
                <w:sz w:val="24"/>
              </w:rPr>
              <w:t>政治思想表现</w:t>
            </w:r>
            <w:r>
              <w:rPr>
                <w:rFonts w:hint="eastAsia" w:eastAsia="宋体"/>
                <w:color w:val="auto"/>
                <w:sz w:val="24"/>
              </w:rPr>
              <w:t>（10%）</w:t>
            </w:r>
          </w:p>
        </w:tc>
        <w:tc>
          <w:tcPr>
            <w:tcW w:w="3730" w:type="pct"/>
            <w:gridSpan w:val="4"/>
            <w:noWrap w:val="0"/>
            <w:vAlign w:val="center"/>
          </w:tcPr>
          <w:p w14:paraId="48D0B348">
            <w:pPr>
              <w:spacing w:line="240" w:lineRule="auto"/>
              <w:ind w:left="0" w:leftChars="0"/>
              <w:rPr>
                <w:rFonts w:hint="eastAsia" w:ascii="宋体" w:hAnsi="宋体"/>
                <w:sz w:val="24"/>
              </w:rPr>
            </w:pPr>
            <w:r>
              <w:rPr>
                <w:rFonts w:hint="eastAsia"/>
                <w:sz w:val="24"/>
              </w:rPr>
              <w:t>采取研究生互评及辅导员监督打分方式，包括上课情况、年级活动、平时表现等。</w:t>
            </w:r>
          </w:p>
        </w:tc>
        <w:tc>
          <w:tcPr>
            <w:tcW w:w="557" w:type="pct"/>
            <w:noWrap w:val="0"/>
            <w:vAlign w:val="top"/>
          </w:tcPr>
          <w:p w14:paraId="12EC0390">
            <w:pPr>
              <w:adjustRightInd w:val="0"/>
              <w:snapToGrid w:val="0"/>
              <w:ind w:left="330"/>
              <w:jc w:val="center"/>
              <w:rPr>
                <w:rFonts w:hint="eastAsia" w:ascii="仿宋_GB2312" w:eastAsia="仿宋_GB2312"/>
              </w:rPr>
            </w:pPr>
          </w:p>
        </w:tc>
      </w:tr>
      <w:tr w14:paraId="6825D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87" w:hRule="atLeast"/>
        </w:trPr>
        <w:tc>
          <w:tcPr>
            <w:tcW w:w="711" w:type="pct"/>
            <w:noWrap w:val="0"/>
            <w:vAlign w:val="center"/>
          </w:tcPr>
          <w:p w14:paraId="606B1FFE">
            <w:pPr>
              <w:pStyle w:val="15"/>
              <w:adjustRightInd w:val="0"/>
              <w:snapToGrid w:val="0"/>
              <w:spacing w:before="0" w:beforeAutospacing="0" w:after="0" w:afterAutospacing="0" w:line="240" w:lineRule="auto"/>
              <w:rPr>
                <w:rFonts w:hint="eastAsia" w:eastAsia="宋体"/>
                <w:color w:val="auto"/>
                <w:sz w:val="24"/>
              </w:rPr>
            </w:pPr>
            <w:r>
              <w:rPr>
                <w:rFonts w:hint="eastAsia" w:eastAsia="宋体"/>
                <w:color w:val="auto"/>
                <w:sz w:val="24"/>
              </w:rPr>
              <w:t>课程成绩（40%）</w:t>
            </w:r>
          </w:p>
        </w:tc>
        <w:tc>
          <w:tcPr>
            <w:tcW w:w="3730" w:type="pct"/>
            <w:gridSpan w:val="4"/>
            <w:noWrap w:val="0"/>
            <w:vAlign w:val="center"/>
          </w:tcPr>
          <w:p w14:paraId="52578F46">
            <w:pPr>
              <w:spacing w:line="240" w:lineRule="auto"/>
              <w:ind w:left="0" w:leftChars="0"/>
              <w:rPr>
                <w:rFonts w:hint="eastAsia" w:ascii="宋体" w:hAnsi="宋体"/>
                <w:b/>
                <w:sz w:val="24"/>
              </w:rPr>
            </w:pPr>
            <w:r>
              <w:rPr>
                <w:rFonts w:hint="eastAsia"/>
                <w:sz w:val="24"/>
              </w:rPr>
              <w:t>指</w:t>
            </w:r>
            <w:r>
              <w:rPr>
                <w:sz w:val="24"/>
              </w:rPr>
              <w:t>学位课程成绩</w:t>
            </w:r>
            <w:r>
              <w:rPr>
                <w:rFonts w:hint="eastAsia"/>
                <w:sz w:val="24"/>
              </w:rPr>
              <w:t>。（三年级研究生不使用课程成绩，但成绩必须满足评审要求）</w:t>
            </w:r>
          </w:p>
        </w:tc>
        <w:tc>
          <w:tcPr>
            <w:tcW w:w="557" w:type="pct"/>
            <w:noWrap w:val="0"/>
            <w:vAlign w:val="top"/>
          </w:tcPr>
          <w:p w14:paraId="4AF54E9B">
            <w:pPr>
              <w:adjustRightInd w:val="0"/>
              <w:snapToGrid w:val="0"/>
              <w:ind w:left="330"/>
              <w:jc w:val="center"/>
              <w:rPr>
                <w:rFonts w:hint="eastAsia" w:ascii="仿宋_GB2312" w:eastAsia="仿宋_GB2312"/>
              </w:rPr>
            </w:pPr>
          </w:p>
        </w:tc>
      </w:tr>
      <w:tr w14:paraId="56FCF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558" w:hRule="atLeast"/>
        </w:trPr>
        <w:tc>
          <w:tcPr>
            <w:tcW w:w="711" w:type="pct"/>
            <w:noWrap w:val="0"/>
            <w:vAlign w:val="center"/>
          </w:tcPr>
          <w:p w14:paraId="2D25D4D8">
            <w:pPr>
              <w:pStyle w:val="15"/>
              <w:adjustRightInd w:val="0"/>
              <w:snapToGrid w:val="0"/>
              <w:spacing w:before="0" w:beforeAutospacing="0" w:after="0" w:afterAutospacing="0" w:line="240" w:lineRule="auto"/>
              <w:rPr>
                <w:rFonts w:ascii="宋体" w:hAnsi="宋体" w:eastAsia="宋体"/>
                <w:color w:val="auto"/>
                <w:sz w:val="24"/>
                <w:szCs w:val="24"/>
              </w:rPr>
            </w:pPr>
            <w:r>
              <w:rPr>
                <w:rFonts w:hint="eastAsia" w:ascii="宋体" w:hAnsi="宋体" w:eastAsia="宋体" w:cs="Times New Roman"/>
                <w:color w:val="auto"/>
                <w:kern w:val="2"/>
                <w:sz w:val="24"/>
                <w:szCs w:val="24"/>
              </w:rPr>
              <w:t>其他加分（10%）</w:t>
            </w:r>
          </w:p>
        </w:tc>
        <w:tc>
          <w:tcPr>
            <w:tcW w:w="3730" w:type="pct"/>
            <w:gridSpan w:val="4"/>
            <w:noWrap w:val="0"/>
            <w:vAlign w:val="center"/>
          </w:tcPr>
          <w:p w14:paraId="43D41E6B">
            <w:pPr>
              <w:spacing w:before="0" w:line="240" w:lineRule="auto"/>
              <w:ind w:left="0" w:leftChars="0" w:right="0"/>
              <w:rPr>
                <w:rFonts w:hint="eastAsia" w:ascii="宋体" w:hAnsi="宋体"/>
                <w:sz w:val="24"/>
              </w:rPr>
            </w:pPr>
            <w:r>
              <w:rPr>
                <w:rFonts w:hint="eastAsia" w:ascii="宋体" w:hAnsi="宋体"/>
                <w:sz w:val="24"/>
              </w:rPr>
              <w:t>1. 学生干部（班长、团支书各5分，其他学生干部2分）；</w:t>
            </w:r>
          </w:p>
          <w:p w14:paraId="7B83FBA6">
            <w:pPr>
              <w:spacing w:before="0" w:line="240" w:lineRule="auto"/>
              <w:ind w:left="0" w:leftChars="0" w:right="0"/>
              <w:rPr>
                <w:rFonts w:hint="eastAsia" w:ascii="宋体" w:hAnsi="宋体"/>
                <w:sz w:val="24"/>
                <w:szCs w:val="24"/>
              </w:rPr>
            </w:pPr>
            <w:r>
              <w:rPr>
                <w:rFonts w:hint="eastAsia" w:ascii="宋体" w:hAnsi="宋体"/>
                <w:sz w:val="24"/>
                <w:szCs w:val="24"/>
              </w:rPr>
              <w:t>2. 国家级竞赛获奖  +30分/次；</w:t>
            </w:r>
          </w:p>
          <w:p w14:paraId="43FB653B">
            <w:pPr>
              <w:spacing w:before="0" w:line="240" w:lineRule="auto"/>
              <w:ind w:left="0" w:leftChars="0" w:right="0"/>
              <w:rPr>
                <w:rFonts w:hint="eastAsia" w:ascii="宋体" w:hAnsi="宋体"/>
                <w:sz w:val="24"/>
                <w:szCs w:val="24"/>
              </w:rPr>
            </w:pPr>
            <w:r>
              <w:rPr>
                <w:rFonts w:hint="eastAsia" w:ascii="宋体" w:hAnsi="宋体"/>
                <w:sz w:val="24"/>
                <w:szCs w:val="24"/>
              </w:rPr>
              <w:t>3. 省级竞赛获奖  +20分/次；</w:t>
            </w:r>
          </w:p>
          <w:p w14:paraId="1686EF5D">
            <w:pPr>
              <w:spacing w:before="0" w:line="240" w:lineRule="auto"/>
              <w:ind w:left="0" w:leftChars="0" w:right="0"/>
              <w:rPr>
                <w:rFonts w:hint="eastAsia" w:ascii="宋体" w:hAnsi="宋体"/>
                <w:sz w:val="24"/>
                <w:szCs w:val="24"/>
              </w:rPr>
            </w:pPr>
            <w:r>
              <w:rPr>
                <w:rFonts w:hint="eastAsia" w:ascii="宋体" w:hAnsi="宋体"/>
                <w:sz w:val="24"/>
                <w:szCs w:val="24"/>
              </w:rPr>
              <w:t>4. 校级竞赛获奖  +5分/次；</w:t>
            </w:r>
          </w:p>
          <w:p w14:paraId="1E372373">
            <w:pPr>
              <w:spacing w:before="0" w:line="240" w:lineRule="auto"/>
              <w:ind w:left="0" w:leftChars="0" w:right="0"/>
              <w:rPr>
                <w:rFonts w:hint="eastAsia" w:ascii="宋体" w:hAnsi="宋体"/>
                <w:sz w:val="24"/>
                <w:szCs w:val="24"/>
              </w:rPr>
            </w:pPr>
            <w:r>
              <w:rPr>
                <w:rFonts w:hint="eastAsia" w:ascii="宋体" w:hAnsi="宋体"/>
                <w:sz w:val="24"/>
                <w:szCs w:val="24"/>
              </w:rPr>
              <w:t>5. 主持校研究生创新基金项目 +5分/次。</w:t>
            </w:r>
          </w:p>
          <w:p w14:paraId="46F673DB">
            <w:pPr>
              <w:spacing w:before="0" w:line="240" w:lineRule="auto"/>
              <w:ind w:left="0" w:leftChars="0" w:right="0"/>
              <w:rPr>
                <w:rFonts w:hint="eastAsia" w:ascii="宋体" w:hAnsi="宋体"/>
                <w:sz w:val="24"/>
                <w:szCs w:val="24"/>
              </w:rPr>
            </w:pPr>
            <w:r>
              <w:rPr>
                <w:rFonts w:hint="eastAsia" w:ascii="宋体" w:hAnsi="宋体"/>
                <w:sz w:val="24"/>
                <w:szCs w:val="24"/>
              </w:rPr>
              <w:t>6. 参加学术会议获奖：国家级，+6分/项；省级，+3分/项。</w:t>
            </w:r>
          </w:p>
          <w:p w14:paraId="0700F77E">
            <w:pPr>
              <w:spacing w:before="0" w:line="240" w:lineRule="auto"/>
              <w:ind w:left="0" w:leftChars="0" w:right="0"/>
              <w:rPr>
                <w:rFonts w:hint="eastAsia" w:ascii="宋体" w:hAnsi="宋体"/>
                <w:sz w:val="24"/>
                <w:szCs w:val="24"/>
              </w:rPr>
            </w:pPr>
            <w:r>
              <w:rPr>
                <w:rFonts w:hint="eastAsia" w:ascii="宋体" w:hAnsi="宋体"/>
                <w:sz w:val="24"/>
                <w:szCs w:val="24"/>
              </w:rPr>
              <w:t>7. 参加学术会议墙报获奖：国家级+3分/项；省级+1.5分/项。</w:t>
            </w:r>
          </w:p>
          <w:p w14:paraId="32D0FD78">
            <w:pPr>
              <w:spacing w:before="0" w:line="240" w:lineRule="auto"/>
              <w:ind w:left="0" w:leftChars="0" w:right="0"/>
              <w:rPr>
                <w:rFonts w:hint="eastAsia" w:ascii="宋体" w:hAnsi="宋体"/>
                <w:sz w:val="24"/>
                <w:szCs w:val="24"/>
              </w:rPr>
            </w:pPr>
            <w:r>
              <w:rPr>
                <w:rFonts w:hint="eastAsia" w:ascii="宋体" w:hAnsi="宋体"/>
                <w:sz w:val="24"/>
                <w:szCs w:val="24"/>
              </w:rPr>
              <w:t>8. 获得政府或学校表彰的荣誉称号：国家级+30分/项，省级+20分/项；市级/校级+5分/项；院级，+2分/项。</w:t>
            </w:r>
          </w:p>
          <w:p w14:paraId="7A7A4EA3">
            <w:pPr>
              <w:spacing w:before="0" w:line="240" w:lineRule="auto"/>
              <w:ind w:left="0" w:leftChars="0" w:right="0"/>
              <w:rPr>
                <w:rFonts w:ascii="宋体" w:hAnsi="宋体"/>
                <w:sz w:val="24"/>
                <w:szCs w:val="24"/>
              </w:rPr>
            </w:pPr>
            <w:r>
              <w:rPr>
                <w:rFonts w:hint="eastAsia" w:ascii="宋体" w:hAnsi="宋体"/>
                <w:color w:val="000000"/>
                <w:sz w:val="24"/>
                <w:szCs w:val="24"/>
              </w:rPr>
              <w:t>9.作为项目负责人获批大学生创新创业项目：国家级 +10分/项；省级+5分/项。</w:t>
            </w:r>
          </w:p>
        </w:tc>
        <w:tc>
          <w:tcPr>
            <w:tcW w:w="557" w:type="pct"/>
            <w:noWrap w:val="0"/>
            <w:vAlign w:val="top"/>
          </w:tcPr>
          <w:p w14:paraId="20622F2A">
            <w:pPr>
              <w:adjustRightInd w:val="0"/>
              <w:snapToGrid w:val="0"/>
              <w:ind w:left="330"/>
              <w:jc w:val="center"/>
              <w:rPr>
                <w:rFonts w:hint="eastAsia" w:ascii="仿宋_GB2312" w:eastAsia="仿宋_GB2312"/>
              </w:rPr>
            </w:pPr>
          </w:p>
        </w:tc>
      </w:tr>
      <w:tr w14:paraId="19DC0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711" w:type="pct"/>
            <w:vMerge w:val="restart"/>
            <w:noWrap w:val="0"/>
            <w:vAlign w:val="center"/>
          </w:tcPr>
          <w:p w14:paraId="05951D91">
            <w:pPr>
              <w:spacing w:before="0" w:line="240" w:lineRule="auto"/>
              <w:ind w:left="0" w:leftChars="0" w:right="0"/>
              <w:rPr>
                <w:rFonts w:hint="eastAsia" w:ascii="宋体" w:hAnsi="宋体"/>
                <w:sz w:val="24"/>
              </w:rPr>
            </w:pPr>
            <w:r>
              <w:rPr>
                <w:rFonts w:hint="eastAsia"/>
                <w:sz w:val="24"/>
              </w:rPr>
              <w:t>教、科研情况（</w:t>
            </w:r>
            <w:r>
              <w:rPr>
                <w:rFonts w:hint="eastAsia" w:ascii="宋体" w:hAnsi="宋体"/>
                <w:sz w:val="24"/>
              </w:rPr>
              <w:t>论文、专利与科研获奖）</w:t>
            </w:r>
            <w:r>
              <w:rPr>
                <w:rFonts w:hint="eastAsia"/>
                <w:sz w:val="24"/>
              </w:rPr>
              <w:t>（40%分）</w:t>
            </w:r>
          </w:p>
        </w:tc>
        <w:tc>
          <w:tcPr>
            <w:tcW w:w="3730" w:type="pct"/>
            <w:gridSpan w:val="4"/>
            <w:noWrap w:val="0"/>
            <w:vAlign w:val="top"/>
          </w:tcPr>
          <w:p w14:paraId="3428F04D">
            <w:pPr>
              <w:spacing w:before="0" w:line="240" w:lineRule="auto"/>
              <w:ind w:left="0" w:leftChars="0" w:right="0" w:firstLine="118" w:firstLineChars="49"/>
              <w:rPr>
                <w:rFonts w:hint="eastAsia"/>
                <w:color w:val="000000"/>
                <w:sz w:val="24"/>
              </w:rPr>
            </w:pPr>
            <w:r>
              <w:rPr>
                <w:rFonts w:hint="eastAsia" w:ascii="宋体" w:hAnsi="宋体"/>
                <w:b/>
                <w:color w:val="000000"/>
                <w:sz w:val="24"/>
              </w:rPr>
              <w:t>1.SCI论文：</w:t>
            </w:r>
            <w:r>
              <w:rPr>
                <w:rFonts w:hint="eastAsia"/>
                <w:color w:val="000000"/>
                <w:sz w:val="24"/>
              </w:rPr>
              <w:t>1区Top期刊45分/篇、1区 40 分/篇、2区25分/篇、3区15分/篇、4区（含SCI-E，和EI）10 分/篇。</w:t>
            </w:r>
          </w:p>
        </w:tc>
        <w:tc>
          <w:tcPr>
            <w:tcW w:w="557" w:type="pct"/>
            <w:vMerge w:val="restart"/>
            <w:noWrap w:val="0"/>
            <w:vAlign w:val="top"/>
          </w:tcPr>
          <w:p w14:paraId="6199648D">
            <w:pPr>
              <w:adjustRightInd w:val="0"/>
              <w:snapToGrid w:val="0"/>
              <w:ind w:left="330"/>
              <w:jc w:val="center"/>
              <w:rPr>
                <w:rFonts w:hint="eastAsia" w:ascii="仿宋_GB2312" w:eastAsia="仿宋_GB2312"/>
              </w:rPr>
            </w:pPr>
          </w:p>
        </w:tc>
      </w:tr>
      <w:tr w14:paraId="18C4D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39" w:hRule="atLeast"/>
        </w:trPr>
        <w:tc>
          <w:tcPr>
            <w:tcW w:w="711" w:type="pct"/>
            <w:vMerge w:val="continue"/>
            <w:noWrap w:val="0"/>
            <w:vAlign w:val="center"/>
          </w:tcPr>
          <w:p w14:paraId="7F127EFA">
            <w:pPr>
              <w:spacing w:line="360" w:lineRule="auto"/>
              <w:ind w:left="330"/>
              <w:rPr>
                <w:rFonts w:hint="eastAsia"/>
                <w:sz w:val="24"/>
              </w:rPr>
            </w:pPr>
          </w:p>
        </w:tc>
        <w:tc>
          <w:tcPr>
            <w:tcW w:w="3730" w:type="pct"/>
            <w:gridSpan w:val="4"/>
            <w:noWrap w:val="0"/>
            <w:vAlign w:val="top"/>
          </w:tcPr>
          <w:p w14:paraId="07FB056D">
            <w:pPr>
              <w:spacing w:before="0" w:line="240" w:lineRule="auto"/>
              <w:ind w:left="0" w:leftChars="0" w:right="0" w:firstLine="118" w:firstLineChars="49"/>
              <w:rPr>
                <w:rFonts w:hint="eastAsia"/>
                <w:b/>
                <w:color w:val="000000"/>
                <w:sz w:val="24"/>
              </w:rPr>
            </w:pPr>
            <w:r>
              <w:rPr>
                <w:rFonts w:hint="eastAsia"/>
                <w:b/>
                <w:color w:val="000000"/>
                <w:sz w:val="24"/>
              </w:rPr>
              <w:t>2．中文期刊：</w:t>
            </w:r>
          </w:p>
          <w:p w14:paraId="1C6BA149">
            <w:pPr>
              <w:spacing w:before="0" w:line="240" w:lineRule="auto"/>
              <w:ind w:left="352" w:leftChars="0" w:right="0" w:hanging="352" w:hangingChars="147"/>
              <w:rPr>
                <w:rFonts w:hint="eastAsia" w:ascii="宋体" w:hAnsi="宋体"/>
                <w:b/>
                <w:color w:val="000000"/>
                <w:sz w:val="24"/>
              </w:rPr>
            </w:pPr>
            <w:r>
              <w:rPr>
                <w:rFonts w:hint="eastAsia"/>
                <w:color w:val="000000"/>
                <w:sz w:val="24"/>
              </w:rPr>
              <w:t>二类期刊</w:t>
            </w:r>
            <w:r>
              <w:rPr>
                <w:rFonts w:hint="eastAsia"/>
                <w:b/>
                <w:bCs/>
                <w:color w:val="000000"/>
                <w:sz w:val="24"/>
              </w:rPr>
              <w:t>10</w:t>
            </w:r>
            <w:r>
              <w:rPr>
                <w:rFonts w:hint="eastAsia"/>
                <w:color w:val="000000"/>
                <w:sz w:val="24"/>
              </w:rPr>
              <w:t>分/篇，三类期刊</w:t>
            </w:r>
            <w:r>
              <w:rPr>
                <w:rFonts w:hint="eastAsia"/>
                <w:b/>
                <w:bCs/>
                <w:color w:val="000000"/>
                <w:sz w:val="24"/>
              </w:rPr>
              <w:t>5</w:t>
            </w:r>
            <w:r>
              <w:rPr>
                <w:rFonts w:hint="eastAsia"/>
                <w:color w:val="000000"/>
                <w:sz w:val="24"/>
              </w:rPr>
              <w:t>分/篇。</w:t>
            </w:r>
          </w:p>
        </w:tc>
        <w:tc>
          <w:tcPr>
            <w:tcW w:w="557" w:type="pct"/>
            <w:vMerge w:val="continue"/>
            <w:noWrap w:val="0"/>
            <w:vAlign w:val="top"/>
          </w:tcPr>
          <w:p w14:paraId="144DE8B1">
            <w:pPr>
              <w:adjustRightInd w:val="0"/>
              <w:snapToGrid w:val="0"/>
              <w:ind w:left="330"/>
              <w:jc w:val="center"/>
              <w:rPr>
                <w:rFonts w:hint="eastAsia" w:ascii="仿宋_GB2312" w:eastAsia="仿宋_GB2312"/>
              </w:rPr>
            </w:pPr>
          </w:p>
        </w:tc>
      </w:tr>
      <w:tr w14:paraId="4B5A4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7" w:hRule="atLeast"/>
        </w:trPr>
        <w:tc>
          <w:tcPr>
            <w:tcW w:w="711" w:type="pct"/>
            <w:vMerge w:val="continue"/>
            <w:noWrap w:val="0"/>
            <w:vAlign w:val="center"/>
          </w:tcPr>
          <w:p w14:paraId="0895361F">
            <w:pPr>
              <w:spacing w:line="360" w:lineRule="auto"/>
              <w:ind w:left="330"/>
              <w:rPr>
                <w:rFonts w:hint="eastAsia"/>
                <w:sz w:val="24"/>
              </w:rPr>
            </w:pPr>
          </w:p>
        </w:tc>
        <w:tc>
          <w:tcPr>
            <w:tcW w:w="3730" w:type="pct"/>
            <w:gridSpan w:val="4"/>
            <w:noWrap w:val="0"/>
            <w:vAlign w:val="top"/>
          </w:tcPr>
          <w:p w14:paraId="7044729F">
            <w:pPr>
              <w:spacing w:before="0" w:line="240" w:lineRule="auto"/>
              <w:ind w:left="0" w:leftChars="0" w:right="0" w:firstLine="118" w:firstLineChars="49"/>
              <w:rPr>
                <w:rFonts w:hint="eastAsia"/>
                <w:color w:val="000000"/>
                <w:sz w:val="24"/>
              </w:rPr>
            </w:pPr>
            <w:r>
              <w:rPr>
                <w:rFonts w:hint="eastAsia"/>
                <w:b/>
                <w:color w:val="000000"/>
                <w:sz w:val="24"/>
              </w:rPr>
              <w:t>3. 专利</w:t>
            </w:r>
          </w:p>
          <w:p w14:paraId="2ACDFD35">
            <w:pPr>
              <w:spacing w:before="0" w:line="240" w:lineRule="auto"/>
              <w:ind w:left="352" w:leftChars="0" w:right="0" w:hanging="352" w:hangingChars="147"/>
              <w:rPr>
                <w:rFonts w:hint="eastAsia" w:ascii="宋体" w:hAnsi="宋体"/>
                <w:b/>
                <w:color w:val="000000"/>
                <w:sz w:val="24"/>
              </w:rPr>
            </w:pPr>
            <w:r>
              <w:rPr>
                <w:rFonts w:hint="eastAsia"/>
                <w:color w:val="000000"/>
                <w:sz w:val="24"/>
              </w:rPr>
              <w:t>国家发明专利25分/项，国家实用新型专利8分/项。</w:t>
            </w:r>
          </w:p>
        </w:tc>
        <w:tc>
          <w:tcPr>
            <w:tcW w:w="557" w:type="pct"/>
            <w:vMerge w:val="continue"/>
            <w:noWrap w:val="0"/>
            <w:vAlign w:val="top"/>
          </w:tcPr>
          <w:p w14:paraId="3757EADF">
            <w:pPr>
              <w:adjustRightInd w:val="0"/>
              <w:snapToGrid w:val="0"/>
              <w:ind w:left="330"/>
              <w:jc w:val="center"/>
              <w:rPr>
                <w:rFonts w:hint="eastAsia" w:ascii="仿宋_GB2312" w:eastAsia="仿宋_GB2312"/>
              </w:rPr>
            </w:pPr>
          </w:p>
        </w:tc>
      </w:tr>
      <w:tr w14:paraId="7F0CE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48" w:hRule="atLeast"/>
        </w:trPr>
        <w:tc>
          <w:tcPr>
            <w:tcW w:w="711" w:type="pct"/>
            <w:vMerge w:val="continue"/>
            <w:noWrap w:val="0"/>
            <w:vAlign w:val="center"/>
          </w:tcPr>
          <w:p w14:paraId="621C89F3">
            <w:pPr>
              <w:spacing w:line="360" w:lineRule="auto"/>
              <w:ind w:left="330"/>
              <w:rPr>
                <w:rFonts w:hint="eastAsia"/>
                <w:sz w:val="24"/>
              </w:rPr>
            </w:pPr>
          </w:p>
        </w:tc>
        <w:tc>
          <w:tcPr>
            <w:tcW w:w="3730" w:type="pct"/>
            <w:gridSpan w:val="4"/>
            <w:noWrap w:val="0"/>
            <w:vAlign w:val="top"/>
          </w:tcPr>
          <w:p w14:paraId="267CC741">
            <w:pPr>
              <w:spacing w:before="0" w:line="240" w:lineRule="auto"/>
              <w:ind w:left="0" w:leftChars="0" w:right="0" w:firstLine="118" w:firstLineChars="49"/>
              <w:rPr>
                <w:rFonts w:hint="eastAsia"/>
                <w:b/>
                <w:color w:val="000000"/>
                <w:sz w:val="24"/>
              </w:rPr>
            </w:pPr>
            <w:r>
              <w:rPr>
                <w:rFonts w:hint="eastAsia"/>
                <w:b/>
                <w:color w:val="000000"/>
                <w:sz w:val="24"/>
              </w:rPr>
              <w:t>4. 科研获奖</w:t>
            </w:r>
          </w:p>
          <w:p w14:paraId="5F537665">
            <w:pPr>
              <w:spacing w:before="0" w:line="240" w:lineRule="auto"/>
              <w:ind w:left="0" w:leftChars="0" w:right="0"/>
              <w:rPr>
                <w:rFonts w:hint="eastAsia"/>
                <w:b/>
                <w:color w:val="000000"/>
                <w:sz w:val="24"/>
              </w:rPr>
            </w:pPr>
            <w:r>
              <w:rPr>
                <w:rFonts w:hint="eastAsia" w:ascii="宋体" w:hAnsi="宋体" w:cs="宋体"/>
                <w:color w:val="000000"/>
                <w:kern w:val="0"/>
                <w:sz w:val="24"/>
              </w:rPr>
              <w:t>每获一类、二类、三类奖励1次，分别计100分、80分、60分。</w:t>
            </w:r>
          </w:p>
        </w:tc>
        <w:tc>
          <w:tcPr>
            <w:tcW w:w="557" w:type="pct"/>
            <w:vMerge w:val="continue"/>
            <w:noWrap w:val="0"/>
            <w:vAlign w:val="top"/>
          </w:tcPr>
          <w:p w14:paraId="5568C374">
            <w:pPr>
              <w:adjustRightInd w:val="0"/>
              <w:snapToGrid w:val="0"/>
              <w:ind w:left="330"/>
              <w:jc w:val="center"/>
              <w:rPr>
                <w:rFonts w:hint="eastAsia" w:ascii="仿宋_GB2312" w:eastAsia="仿宋_GB2312"/>
              </w:rPr>
            </w:pPr>
          </w:p>
        </w:tc>
      </w:tr>
      <w:tr w14:paraId="3DB29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22" w:hRule="atLeast"/>
        </w:trPr>
        <w:tc>
          <w:tcPr>
            <w:tcW w:w="711" w:type="pct"/>
            <w:vMerge w:val="continue"/>
            <w:noWrap w:val="0"/>
            <w:vAlign w:val="center"/>
          </w:tcPr>
          <w:p w14:paraId="53D89D6D">
            <w:pPr>
              <w:spacing w:line="360" w:lineRule="auto"/>
              <w:ind w:left="330"/>
              <w:rPr>
                <w:rFonts w:hint="eastAsia"/>
                <w:sz w:val="24"/>
              </w:rPr>
            </w:pPr>
          </w:p>
        </w:tc>
        <w:tc>
          <w:tcPr>
            <w:tcW w:w="3730" w:type="pct"/>
            <w:gridSpan w:val="4"/>
            <w:noWrap w:val="0"/>
            <w:vAlign w:val="top"/>
          </w:tcPr>
          <w:p w14:paraId="5D8A50B3">
            <w:pPr>
              <w:spacing w:before="0" w:line="240" w:lineRule="auto"/>
              <w:ind w:left="0" w:leftChars="0" w:right="0" w:firstLine="118" w:firstLineChars="49"/>
              <w:rPr>
                <w:rFonts w:hint="eastAsia"/>
                <w:b/>
                <w:color w:val="000000"/>
                <w:sz w:val="24"/>
              </w:rPr>
            </w:pPr>
            <w:r>
              <w:rPr>
                <w:rFonts w:hint="eastAsia"/>
                <w:b/>
                <w:color w:val="000000"/>
                <w:sz w:val="24"/>
              </w:rPr>
              <w:t>5、出版著作和教材</w:t>
            </w:r>
          </w:p>
          <w:p w14:paraId="1F346406">
            <w:pPr>
              <w:spacing w:before="0" w:line="240" w:lineRule="auto"/>
              <w:ind w:left="0" w:leftChars="0" w:right="0" w:firstLine="117" w:firstLineChars="49"/>
              <w:rPr>
                <w:rFonts w:hint="eastAsia"/>
                <w:b/>
                <w:color w:val="000000"/>
                <w:sz w:val="24"/>
              </w:rPr>
            </w:pPr>
            <w:r>
              <w:rPr>
                <w:color w:val="000000"/>
                <w:sz w:val="24"/>
              </w:rPr>
              <w:t>参加撰写</w:t>
            </w:r>
            <w:r>
              <w:rPr>
                <w:rFonts w:hint="eastAsia"/>
                <w:color w:val="000000"/>
                <w:sz w:val="24"/>
              </w:rPr>
              <w:t>1万-5万字的</w:t>
            </w:r>
            <w:r>
              <w:rPr>
                <w:color w:val="000000"/>
                <w:sz w:val="24"/>
              </w:rPr>
              <w:t>学术</w:t>
            </w:r>
            <w:r>
              <w:rPr>
                <w:rFonts w:hint="eastAsia"/>
                <w:color w:val="000000"/>
                <w:sz w:val="24"/>
              </w:rPr>
              <w:t>出版物3分/项，</w:t>
            </w:r>
            <w:r>
              <w:rPr>
                <w:color w:val="000000"/>
                <w:sz w:val="24"/>
              </w:rPr>
              <w:t>参加撰写</w:t>
            </w:r>
            <w:r>
              <w:rPr>
                <w:rFonts w:hint="eastAsia"/>
                <w:color w:val="000000"/>
                <w:sz w:val="24"/>
              </w:rPr>
              <w:t>5万字以上的</w:t>
            </w:r>
            <w:r>
              <w:rPr>
                <w:color w:val="000000"/>
                <w:sz w:val="24"/>
              </w:rPr>
              <w:t>学术</w:t>
            </w:r>
            <w:r>
              <w:rPr>
                <w:rFonts w:hint="eastAsia"/>
                <w:color w:val="000000"/>
                <w:sz w:val="24"/>
              </w:rPr>
              <w:t>出版物8分/项（需提供证明材料）</w:t>
            </w:r>
          </w:p>
        </w:tc>
        <w:tc>
          <w:tcPr>
            <w:tcW w:w="557" w:type="pct"/>
            <w:vMerge w:val="continue"/>
            <w:noWrap w:val="0"/>
            <w:vAlign w:val="top"/>
          </w:tcPr>
          <w:p w14:paraId="31E31B92">
            <w:pPr>
              <w:adjustRightInd w:val="0"/>
              <w:snapToGrid w:val="0"/>
              <w:ind w:left="330"/>
              <w:jc w:val="center"/>
              <w:rPr>
                <w:rFonts w:hint="eastAsia" w:ascii="仿宋_GB2312" w:eastAsia="仿宋_GB2312"/>
              </w:rPr>
            </w:pPr>
          </w:p>
        </w:tc>
      </w:tr>
      <w:tr w14:paraId="2B586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5" w:hRule="atLeast"/>
        </w:trPr>
        <w:tc>
          <w:tcPr>
            <w:tcW w:w="711" w:type="pct"/>
            <w:vMerge w:val="continue"/>
            <w:noWrap w:val="0"/>
            <w:vAlign w:val="center"/>
          </w:tcPr>
          <w:p w14:paraId="229BAD05">
            <w:pPr>
              <w:spacing w:line="360" w:lineRule="auto"/>
              <w:ind w:left="330"/>
              <w:rPr>
                <w:rFonts w:hint="eastAsia"/>
                <w:sz w:val="24"/>
              </w:rPr>
            </w:pPr>
          </w:p>
        </w:tc>
        <w:tc>
          <w:tcPr>
            <w:tcW w:w="3730" w:type="pct"/>
            <w:gridSpan w:val="4"/>
            <w:noWrap w:val="0"/>
            <w:vAlign w:val="top"/>
          </w:tcPr>
          <w:p w14:paraId="32237FCA">
            <w:pPr>
              <w:spacing w:before="0" w:line="240" w:lineRule="auto"/>
              <w:ind w:left="0" w:leftChars="0" w:right="0"/>
              <w:rPr>
                <w:rFonts w:hint="eastAsia"/>
                <w:color w:val="000000"/>
                <w:sz w:val="24"/>
              </w:rPr>
            </w:pPr>
            <w:r>
              <w:rPr>
                <w:rFonts w:hint="eastAsia"/>
                <w:b/>
                <w:color w:val="000000"/>
                <w:sz w:val="24"/>
              </w:rPr>
              <w:t>6、</w:t>
            </w:r>
            <w:r>
              <w:rPr>
                <w:rFonts w:hint="eastAsia"/>
                <w:b/>
                <w:bCs/>
                <w:color w:val="000000"/>
                <w:sz w:val="24"/>
              </w:rPr>
              <w:t>主持教研及科研课题</w:t>
            </w:r>
            <w:r>
              <w:rPr>
                <w:rFonts w:hint="eastAsia"/>
                <w:color w:val="000000"/>
                <w:sz w:val="24"/>
              </w:rPr>
              <w:t>：</w:t>
            </w:r>
          </w:p>
          <w:p w14:paraId="48BA85ED">
            <w:pPr>
              <w:spacing w:before="0" w:line="240" w:lineRule="auto"/>
              <w:ind w:left="0" w:leftChars="0" w:right="0"/>
              <w:rPr>
                <w:color w:val="000000"/>
                <w:sz w:val="24"/>
              </w:rPr>
            </w:pPr>
            <w:r>
              <w:rPr>
                <w:rFonts w:hint="eastAsia"/>
                <w:color w:val="000000"/>
                <w:sz w:val="24"/>
              </w:rPr>
              <w:t>国家级40分/项；省级（重点项目20分/项、其他项目10分/项）</w:t>
            </w:r>
          </w:p>
        </w:tc>
        <w:tc>
          <w:tcPr>
            <w:tcW w:w="557" w:type="pct"/>
            <w:vMerge w:val="continue"/>
            <w:noWrap w:val="0"/>
            <w:vAlign w:val="top"/>
          </w:tcPr>
          <w:p w14:paraId="56931902">
            <w:pPr>
              <w:adjustRightInd w:val="0"/>
              <w:snapToGrid w:val="0"/>
              <w:ind w:left="330"/>
              <w:jc w:val="center"/>
              <w:rPr>
                <w:rFonts w:hint="eastAsia" w:ascii="仿宋_GB2312" w:eastAsia="仿宋_GB2312"/>
              </w:rPr>
            </w:pPr>
          </w:p>
        </w:tc>
      </w:tr>
      <w:tr w14:paraId="7DD9C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8" w:hRule="atLeast"/>
        </w:trPr>
        <w:tc>
          <w:tcPr>
            <w:tcW w:w="711" w:type="pct"/>
            <w:noWrap w:val="0"/>
            <w:vAlign w:val="center"/>
          </w:tcPr>
          <w:p w14:paraId="49CE3FFC">
            <w:pPr>
              <w:pStyle w:val="15"/>
              <w:adjustRightInd w:val="0"/>
              <w:snapToGrid w:val="0"/>
              <w:spacing w:before="0" w:beforeAutospacing="0" w:after="0" w:afterAutospacing="0" w:line="240" w:lineRule="auto"/>
              <w:jc w:val="center"/>
              <w:rPr>
                <w:rFonts w:hint="eastAsia" w:ascii="仿宋_GB2312" w:hAnsi="Times New Roman" w:eastAsia="仿宋_GB2312" w:cs="Times New Roman"/>
                <w:b/>
                <w:bCs/>
                <w:color w:val="auto"/>
                <w:kern w:val="2"/>
                <w:sz w:val="21"/>
                <w:szCs w:val="24"/>
              </w:rPr>
            </w:pPr>
            <w:r>
              <w:rPr>
                <w:rFonts w:hint="eastAsia" w:ascii="宋体" w:hAnsi="宋体" w:eastAsia="宋体" w:cs="Times New Roman"/>
                <w:color w:val="auto"/>
                <w:kern w:val="2"/>
                <w:sz w:val="24"/>
                <w:szCs w:val="24"/>
              </w:rPr>
              <w:t>总分</w:t>
            </w:r>
          </w:p>
        </w:tc>
        <w:tc>
          <w:tcPr>
            <w:tcW w:w="4288" w:type="pct"/>
            <w:gridSpan w:val="5"/>
            <w:noWrap w:val="0"/>
            <w:vAlign w:val="center"/>
          </w:tcPr>
          <w:p w14:paraId="09E1A800">
            <w:pPr>
              <w:pStyle w:val="15"/>
              <w:adjustRightInd w:val="0"/>
              <w:snapToGrid w:val="0"/>
              <w:spacing w:before="0" w:beforeAutospacing="0" w:after="0" w:afterAutospacing="0" w:line="240" w:lineRule="auto"/>
              <w:jc w:val="center"/>
              <w:rPr>
                <w:rFonts w:hint="eastAsia" w:ascii="宋体" w:hAnsi="宋体" w:eastAsia="宋体" w:cs="Times New Roman"/>
                <w:color w:val="auto"/>
                <w:kern w:val="2"/>
                <w:sz w:val="24"/>
                <w:szCs w:val="24"/>
              </w:rPr>
            </w:pPr>
          </w:p>
        </w:tc>
      </w:tr>
    </w:tbl>
    <w:p w14:paraId="18F58E9F">
      <w:pPr>
        <w:adjustRightInd w:val="0"/>
        <w:snapToGrid w:val="0"/>
        <w:spacing w:before="312" w:beforeLines="100" w:after="312" w:afterLines="100" w:line="440" w:lineRule="exact"/>
        <w:ind w:left="330"/>
        <w:rPr>
          <w:rFonts w:hint="eastAsia"/>
          <w:color w:val="000000"/>
          <w:szCs w:val="21"/>
        </w:rPr>
      </w:pPr>
      <w:r>
        <w:rPr>
          <w:rFonts w:hint="eastAsia" w:ascii="宋体" w:hAnsi="宋体"/>
          <w:b/>
          <w:szCs w:val="21"/>
        </w:rPr>
        <w:t>说明：</w:t>
      </w:r>
      <w:r>
        <w:rPr>
          <w:rFonts w:hint="eastAsia" w:ascii="宋体" w:hAnsi="宋体"/>
          <w:szCs w:val="21"/>
        </w:rPr>
        <w:t>1</w:t>
      </w:r>
      <w:r>
        <w:rPr>
          <w:rFonts w:hint="eastAsia"/>
          <w:szCs w:val="21"/>
        </w:rPr>
        <w:t>）</w:t>
      </w:r>
      <w:r>
        <w:rPr>
          <w:rFonts w:hint="eastAsia"/>
        </w:rPr>
        <w:t>所有获奖为淮北师范大学是第一署名单位，学生排名第一，其中的级别均为一等奖。二等奖和三等奖的分值分别按其70%和50%计算。</w:t>
      </w:r>
      <w:r>
        <w:rPr>
          <w:rFonts w:hint="eastAsia"/>
          <w:szCs w:val="21"/>
        </w:rPr>
        <w:t>2）</w:t>
      </w:r>
      <w:r>
        <w:rPr>
          <w:rFonts w:hint="eastAsia" w:ascii="宋体" w:hAnsi="宋体" w:cs="宋体"/>
          <w:kern w:val="0"/>
          <w:szCs w:val="21"/>
        </w:rPr>
        <w:t>论文分类以教育厅皖教人秘(2016)1号文件附件表1为准；</w:t>
      </w:r>
      <w:r>
        <w:rPr>
          <w:rFonts w:hint="eastAsia"/>
          <w:szCs w:val="21"/>
        </w:rPr>
        <w:t>学术论文按第一作者按100%；并列第一作者排序在前按80%，并列第一作者排序在后按20%且只取前二位</w:t>
      </w:r>
      <w:r>
        <w:rPr>
          <w:rFonts w:hint="eastAsia"/>
          <w:color w:val="000000"/>
          <w:szCs w:val="21"/>
        </w:rPr>
        <w:t>(</w:t>
      </w:r>
      <w:r>
        <w:rPr>
          <w:rFonts w:hint="eastAsia"/>
          <w:color w:val="FF0000"/>
          <w:szCs w:val="21"/>
        </w:rPr>
        <w:t>其中导师为并列第一作者排序在前、学生为并列第一作者且排序在后的按50%）</w:t>
      </w:r>
      <w:r>
        <w:rPr>
          <w:rFonts w:hint="eastAsia"/>
          <w:szCs w:val="21"/>
        </w:rPr>
        <w:t>；导师第一作者，学生第二作者按</w:t>
      </w:r>
      <w:r>
        <w:rPr>
          <w:rFonts w:hint="eastAsia"/>
          <w:color w:val="000000"/>
          <w:szCs w:val="21"/>
        </w:rPr>
        <w:t>照20%</w:t>
      </w:r>
      <w:r>
        <w:rPr>
          <w:rFonts w:hint="eastAsia"/>
          <w:szCs w:val="21"/>
        </w:rPr>
        <w:t>；3）论文发表时间必须在研究生入学以后（如有收稿日期，以收稿日期为准）；</w:t>
      </w:r>
      <w:r>
        <w:rPr>
          <w:rFonts w:hint="eastAsia"/>
          <w:b/>
          <w:bCs/>
          <w:color w:val="FF0000"/>
          <w:szCs w:val="21"/>
        </w:rPr>
        <w:t>发表的学术论文必须正式发表（以有期号、卷号和页码为正式发表）</w:t>
      </w:r>
      <w:r>
        <w:rPr>
          <w:rFonts w:hint="eastAsia"/>
          <w:szCs w:val="21"/>
        </w:rPr>
        <w:t>。</w:t>
      </w:r>
      <w:r>
        <w:rPr>
          <w:rFonts w:hint="eastAsia"/>
        </w:rPr>
        <w:t>论文</w:t>
      </w:r>
      <w:r>
        <w:rPr>
          <w:rFonts w:hint="eastAsia" w:ascii="宋体" w:hAnsi="宋体" w:cs="宋体"/>
          <w:kern w:val="0"/>
          <w:szCs w:val="21"/>
        </w:rPr>
        <w:t>分类以教育厅皖教人秘(2016)1号文件附件表为准；SCI论文分区以论文发表当年中科院分区为准。</w:t>
      </w:r>
      <w:r>
        <w:rPr>
          <w:rFonts w:hint="eastAsia"/>
          <w:szCs w:val="21"/>
        </w:rPr>
        <w:t>4）专利必须为第一完成人。</w:t>
      </w:r>
      <w:r>
        <w:rPr>
          <w:rFonts w:hint="eastAsia" w:ascii="宋体" w:hAnsi="宋体" w:cs="宋体"/>
          <w:kern w:val="0"/>
          <w:szCs w:val="21"/>
        </w:rPr>
        <w:t>5）</w:t>
      </w:r>
      <w:r>
        <w:rPr>
          <w:rFonts w:hint="eastAsia" w:ascii="宋体" w:hAnsi="宋体" w:cs="宋体"/>
          <w:color w:val="000000"/>
          <w:kern w:val="0"/>
          <w:szCs w:val="21"/>
        </w:rPr>
        <w:t>科研奖励分类以教育厅皖教人秘(2016)1号文件附件表3为准；同一项目多次获奖，取</w:t>
      </w:r>
      <w:r>
        <w:rPr>
          <w:rFonts w:hint="eastAsia" w:ascii="宋体" w:hAnsi="宋体" w:cs="宋体"/>
          <w:kern w:val="0"/>
          <w:szCs w:val="21"/>
        </w:rPr>
        <w:t>其中一项最高奖项。</w:t>
      </w:r>
      <w:r>
        <w:rPr>
          <w:rFonts w:hint="eastAsia"/>
        </w:rPr>
        <w:t>其中的级别均为一等奖。二等奖和三等奖的分值分别按其70%和50%计算</w:t>
      </w:r>
      <w:r>
        <w:rPr>
          <w:rFonts w:hint="eastAsia" w:ascii="宋体" w:hAnsi="宋体" w:cs="宋体"/>
          <w:kern w:val="0"/>
          <w:szCs w:val="21"/>
        </w:rPr>
        <w:t>。</w:t>
      </w:r>
      <w:r>
        <w:rPr>
          <w:rFonts w:hint="eastAsia"/>
          <w:szCs w:val="21"/>
        </w:rPr>
        <w:t>第一、第二、第三、第四完成人及以后人员分别按100%、50%、30%、10%计分；6）所有成果为</w:t>
      </w:r>
      <w:r>
        <w:rPr>
          <w:rFonts w:hint="eastAsia" w:ascii="宋体" w:hAnsi="宋体" w:cs="宋体"/>
          <w:kern w:val="0"/>
          <w:szCs w:val="21"/>
        </w:rPr>
        <w:t>上次评选时间至本次评选时间为止（按照学院通知截止时间）；</w:t>
      </w:r>
      <w:r>
        <w:rPr>
          <w:rFonts w:hint="eastAsia"/>
          <w:color w:val="000000"/>
          <w:szCs w:val="21"/>
        </w:rPr>
        <w:t>7）</w:t>
      </w:r>
      <w:r>
        <w:rPr>
          <w:rFonts w:hint="eastAsia" w:ascii="宋体" w:hAnsi="宋体" w:cs="宋体"/>
          <w:color w:val="000000"/>
          <w:kern w:val="0"/>
          <w:szCs w:val="21"/>
        </w:rPr>
        <w:t>参评的科研成果必须是以淮北师范大学为第一作者单位。</w:t>
      </w:r>
    </w:p>
    <w:p w14:paraId="44ED675A">
      <w:pPr>
        <w:spacing w:before="0" w:line="240" w:lineRule="auto"/>
        <w:ind w:left="0" w:leftChars="0" w:right="0"/>
        <w:rPr>
          <w:rFonts w:hint="eastAsia"/>
          <w:b/>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330"/>
      </w:pPr>
      <w:r>
        <w:separator/>
      </w:r>
    </w:p>
  </w:endnote>
  <w:endnote w:type="continuationSeparator" w:id="1">
    <w:p>
      <w:pPr>
        <w:spacing w:line="240" w:lineRule="auto"/>
        <w:ind w:left="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EC4B669-3A6C-473E-BA1C-9AECFF2C4B1F}"/>
  </w:font>
  <w:font w:name="Arial">
    <w:panose1 w:val="020B0604020202020204"/>
    <w:charset w:val="00"/>
    <w:family w:val="swiss"/>
    <w:pitch w:val="default"/>
    <w:sig w:usb0="E0002EFF" w:usb1="C000785B" w:usb2="00000009" w:usb3="00000000" w:csb0="400001FF" w:csb1="FFFF0000"/>
    <w:embedRegular r:id="rId2" w:fontKey="{989C22E3-C776-4D9F-A2B2-5F42E9BA391F}"/>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2A12FC71-524C-4524-B560-CB34B175F247}"/>
  </w:font>
  <w:font w:name="仿宋_GB2312">
    <w:altName w:val="仿宋"/>
    <w:panose1 w:val="02010609030101010101"/>
    <w:charset w:val="86"/>
    <w:family w:val="modern"/>
    <w:pitch w:val="default"/>
    <w:sig w:usb0="00000001" w:usb1="080E0000" w:usb2="00000000" w:usb3="00000000" w:csb0="00040000" w:csb1="00000000"/>
    <w:embedRegular r:id="rId4" w:fontKey="{52E072C0-39C8-48E3-9B1A-BC19F72AB2E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57B3">
    <w:pPr>
      <w:pStyle w:val="5"/>
      <w:ind w:left="3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B21A">
    <w:pPr>
      <w:pStyle w:val="5"/>
      <w:ind w:left="3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C0AF">
    <w:pPr>
      <w:pStyle w:val="5"/>
      <w:ind w:left="3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ind w:left="330"/>
      </w:pPr>
      <w:r>
        <w:separator/>
      </w:r>
    </w:p>
  </w:footnote>
  <w:footnote w:type="continuationSeparator" w:id="1">
    <w:p>
      <w:pPr>
        <w:spacing w:before="0" w:after="0" w:line="250" w:lineRule="auto"/>
        <w:ind w:left="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60E7">
    <w:pPr>
      <w:ind w:left="0"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C2C2">
    <w:pPr>
      <w:pStyle w:val="6"/>
      <w:ind w:left="3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0869">
    <w:pPr>
      <w:pStyle w:val="6"/>
      <w:ind w:left="3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mNjZmFjNDc3MGQ3ZTk2ZjhiMjZlNTAyZTVkZTkifQ=="/>
  </w:docVars>
  <w:rsids>
    <w:rsidRoot w:val="00530DFC"/>
    <w:rsid w:val="0001510F"/>
    <w:rsid w:val="00044EE7"/>
    <w:rsid w:val="0005460B"/>
    <w:rsid w:val="00094858"/>
    <w:rsid w:val="000A4F36"/>
    <w:rsid w:val="000A72C2"/>
    <w:rsid w:val="000A7D39"/>
    <w:rsid w:val="000C4F78"/>
    <w:rsid w:val="000D5507"/>
    <w:rsid w:val="000F3E66"/>
    <w:rsid w:val="00115152"/>
    <w:rsid w:val="00115D83"/>
    <w:rsid w:val="00152C8F"/>
    <w:rsid w:val="001706A6"/>
    <w:rsid w:val="001710C4"/>
    <w:rsid w:val="00197624"/>
    <w:rsid w:val="001B25A6"/>
    <w:rsid w:val="00203E4B"/>
    <w:rsid w:val="00237FAA"/>
    <w:rsid w:val="002535A8"/>
    <w:rsid w:val="002662DE"/>
    <w:rsid w:val="0029271E"/>
    <w:rsid w:val="002A463E"/>
    <w:rsid w:val="002E700C"/>
    <w:rsid w:val="002F1B96"/>
    <w:rsid w:val="002F7802"/>
    <w:rsid w:val="003004A0"/>
    <w:rsid w:val="00314F2E"/>
    <w:rsid w:val="003244E1"/>
    <w:rsid w:val="003333A9"/>
    <w:rsid w:val="00354C3C"/>
    <w:rsid w:val="00355418"/>
    <w:rsid w:val="00376F34"/>
    <w:rsid w:val="00385C35"/>
    <w:rsid w:val="0039369E"/>
    <w:rsid w:val="003C13DF"/>
    <w:rsid w:val="003D784C"/>
    <w:rsid w:val="0041546F"/>
    <w:rsid w:val="0042620D"/>
    <w:rsid w:val="004322A0"/>
    <w:rsid w:val="00443597"/>
    <w:rsid w:val="00472088"/>
    <w:rsid w:val="00492931"/>
    <w:rsid w:val="004A5DA0"/>
    <w:rsid w:val="004D36A5"/>
    <w:rsid w:val="004D74C4"/>
    <w:rsid w:val="005074E1"/>
    <w:rsid w:val="00524BE7"/>
    <w:rsid w:val="00530DFC"/>
    <w:rsid w:val="0054575A"/>
    <w:rsid w:val="0054740C"/>
    <w:rsid w:val="00570BAD"/>
    <w:rsid w:val="00593BD5"/>
    <w:rsid w:val="005A0F5F"/>
    <w:rsid w:val="005E12F5"/>
    <w:rsid w:val="006502BE"/>
    <w:rsid w:val="006512C7"/>
    <w:rsid w:val="006842EA"/>
    <w:rsid w:val="006853AA"/>
    <w:rsid w:val="006A1015"/>
    <w:rsid w:val="006B1A7E"/>
    <w:rsid w:val="006B7A2E"/>
    <w:rsid w:val="006C6AB9"/>
    <w:rsid w:val="006E05F3"/>
    <w:rsid w:val="006E2436"/>
    <w:rsid w:val="0072598B"/>
    <w:rsid w:val="00754D6E"/>
    <w:rsid w:val="007740D7"/>
    <w:rsid w:val="007938EB"/>
    <w:rsid w:val="007A67FB"/>
    <w:rsid w:val="007D391D"/>
    <w:rsid w:val="00802BAE"/>
    <w:rsid w:val="00804955"/>
    <w:rsid w:val="00886EC5"/>
    <w:rsid w:val="008A3492"/>
    <w:rsid w:val="008D7C31"/>
    <w:rsid w:val="00916859"/>
    <w:rsid w:val="00917BDE"/>
    <w:rsid w:val="00965BC2"/>
    <w:rsid w:val="00985D3B"/>
    <w:rsid w:val="00985E53"/>
    <w:rsid w:val="009C2B14"/>
    <w:rsid w:val="009E7267"/>
    <w:rsid w:val="009E7F87"/>
    <w:rsid w:val="009F188C"/>
    <w:rsid w:val="00A12C1F"/>
    <w:rsid w:val="00A42C23"/>
    <w:rsid w:val="00A65DAA"/>
    <w:rsid w:val="00A70C8A"/>
    <w:rsid w:val="00A81445"/>
    <w:rsid w:val="00AB175F"/>
    <w:rsid w:val="00AE0815"/>
    <w:rsid w:val="00B25E81"/>
    <w:rsid w:val="00B34B81"/>
    <w:rsid w:val="00B36FA2"/>
    <w:rsid w:val="00B71FF7"/>
    <w:rsid w:val="00B8753D"/>
    <w:rsid w:val="00BB3DFC"/>
    <w:rsid w:val="00BC0F82"/>
    <w:rsid w:val="00C0748A"/>
    <w:rsid w:val="00C23C06"/>
    <w:rsid w:val="00C26169"/>
    <w:rsid w:val="00C72D4F"/>
    <w:rsid w:val="00C7512D"/>
    <w:rsid w:val="00C818B6"/>
    <w:rsid w:val="00C976F4"/>
    <w:rsid w:val="00D124F5"/>
    <w:rsid w:val="00D12946"/>
    <w:rsid w:val="00D16F7C"/>
    <w:rsid w:val="00D24FD0"/>
    <w:rsid w:val="00D26F39"/>
    <w:rsid w:val="00D43561"/>
    <w:rsid w:val="00D65057"/>
    <w:rsid w:val="00D8169C"/>
    <w:rsid w:val="00D92E1A"/>
    <w:rsid w:val="00D95761"/>
    <w:rsid w:val="00D967B3"/>
    <w:rsid w:val="00DE33F9"/>
    <w:rsid w:val="00E01D48"/>
    <w:rsid w:val="00E27051"/>
    <w:rsid w:val="00E40447"/>
    <w:rsid w:val="00E8202B"/>
    <w:rsid w:val="00EC31B5"/>
    <w:rsid w:val="00EC4843"/>
    <w:rsid w:val="00EF113C"/>
    <w:rsid w:val="00F01A20"/>
    <w:rsid w:val="00F12228"/>
    <w:rsid w:val="00F23EF3"/>
    <w:rsid w:val="00F24449"/>
    <w:rsid w:val="00F61A74"/>
    <w:rsid w:val="00FE110A"/>
    <w:rsid w:val="00FF5B85"/>
    <w:rsid w:val="09883A53"/>
    <w:rsid w:val="0B831F3C"/>
    <w:rsid w:val="0D7074C2"/>
    <w:rsid w:val="193D7B72"/>
    <w:rsid w:val="1B074A80"/>
    <w:rsid w:val="1BC0147F"/>
    <w:rsid w:val="1C1F55B1"/>
    <w:rsid w:val="30C32E0E"/>
    <w:rsid w:val="40CC5714"/>
    <w:rsid w:val="431F6849"/>
    <w:rsid w:val="43EE4324"/>
    <w:rsid w:val="45970B8C"/>
    <w:rsid w:val="48D678FC"/>
    <w:rsid w:val="5F85487D"/>
    <w:rsid w:val="6BB56D9E"/>
    <w:rsid w:val="704B1ADE"/>
    <w:rsid w:val="729C5F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 w:line="250" w:lineRule="auto"/>
      <w:ind w:left="157" w:leftChars="157" w:right="28"/>
      <w:jc w:val="both"/>
    </w:pPr>
    <w:rPr>
      <w:kern w:val="2"/>
      <w:sz w:val="21"/>
      <w:szCs w:val="22"/>
      <w:lang w:val="en-US" w:eastAsia="zh-CN" w:bidi="ar-SA"/>
    </w:rPr>
  </w:style>
  <w:style w:type="paragraph" w:styleId="2">
    <w:name w:val="heading 2"/>
    <w:basedOn w:val="1"/>
    <w:next w:val="1"/>
    <w:link w:val="10"/>
    <w:qFormat/>
    <w:uiPriority w:val="0"/>
    <w:pPr>
      <w:keepNext/>
      <w:keepLines/>
      <w:spacing w:before="260" w:after="260" w:line="416" w:lineRule="auto"/>
      <w:ind w:left="0" w:leftChars="0" w:right="0"/>
      <w:outlineLvl w:val="1"/>
    </w:pPr>
    <w:rPr>
      <w:rFonts w:ascii="Arial" w:hAnsi="Arial" w:eastAsia="黑体" w:cs="Times New Roman"/>
      <w:b/>
      <w:bCs/>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link w:val="11"/>
    <w:qFormat/>
    <w:uiPriority w:val="1"/>
    <w:pPr>
      <w:spacing w:before="20" w:line="240" w:lineRule="auto"/>
      <w:ind w:left="120" w:leftChars="0" w:right="0"/>
      <w:jc w:val="left"/>
    </w:pPr>
    <w:rPr>
      <w:rFonts w:ascii="宋体" w:hAnsi="宋体" w:cs="Times New Roman"/>
      <w:kern w:val="0"/>
      <w:szCs w:val="21"/>
      <w:lang w:eastAsia="en-US"/>
    </w:rPr>
  </w:style>
  <w:style w:type="paragraph" w:styleId="4">
    <w:name w:val="Balloon Text"/>
    <w:basedOn w:val="1"/>
    <w:link w:val="12"/>
    <w:unhideWhenUsed/>
    <w:uiPriority w:val="99"/>
    <w:pPr>
      <w:spacing w:before="0" w:line="240" w:lineRule="auto"/>
    </w:pPr>
    <w:rPr>
      <w:sz w:val="18"/>
      <w:szCs w:val="18"/>
    </w:rPr>
  </w:style>
  <w:style w:type="paragraph" w:styleId="5">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iPriority w:val="0"/>
    <w:pPr>
      <w:widowControl/>
      <w:spacing w:before="100" w:beforeAutospacing="1" w:after="100" w:afterAutospacing="1" w:line="240" w:lineRule="auto"/>
      <w:ind w:left="0" w:leftChars="0" w:right="0"/>
      <w:jc w:val="left"/>
    </w:pPr>
    <w:rPr>
      <w:rFonts w:ascii="宋体" w:hAnsi="宋体" w:eastAsia="宋体" w:cs="宋体"/>
      <w:kern w:val="0"/>
      <w:sz w:val="24"/>
      <w:szCs w:val="24"/>
    </w:rPr>
  </w:style>
  <w:style w:type="character" w:customStyle="1" w:styleId="10">
    <w:name w:val="标题 2 Char"/>
    <w:link w:val="2"/>
    <w:uiPriority w:val="0"/>
    <w:rPr>
      <w:rFonts w:ascii="Arial" w:hAnsi="Arial" w:eastAsia="黑体" w:cs="Times New Roman"/>
      <w:b/>
      <w:bCs/>
      <w:sz w:val="32"/>
      <w:szCs w:val="32"/>
    </w:rPr>
  </w:style>
  <w:style w:type="character" w:customStyle="1" w:styleId="11">
    <w:name w:val="正文文本 Char"/>
    <w:link w:val="3"/>
    <w:uiPriority w:val="1"/>
    <w:rPr>
      <w:rFonts w:ascii="宋体" w:hAnsi="宋体" w:cs="Times New Roman"/>
      <w:sz w:val="21"/>
      <w:szCs w:val="21"/>
      <w:lang w:eastAsia="en-US"/>
    </w:rPr>
  </w:style>
  <w:style w:type="character" w:customStyle="1" w:styleId="12">
    <w:name w:val="批注框文本 Char"/>
    <w:link w:val="4"/>
    <w:semiHidden/>
    <w:uiPriority w:val="99"/>
    <w:rPr>
      <w:sz w:val="18"/>
      <w:szCs w:val="18"/>
    </w:rPr>
  </w:style>
  <w:style w:type="character" w:customStyle="1" w:styleId="13">
    <w:name w:val="页脚 Char"/>
    <w:link w:val="5"/>
    <w:semiHidden/>
    <w:uiPriority w:val="99"/>
    <w:rPr>
      <w:sz w:val="18"/>
      <w:szCs w:val="18"/>
    </w:rPr>
  </w:style>
  <w:style w:type="character" w:customStyle="1" w:styleId="14">
    <w:name w:val="页眉 Char"/>
    <w:link w:val="6"/>
    <w:uiPriority w:val="99"/>
    <w:rPr>
      <w:sz w:val="18"/>
      <w:szCs w:val="18"/>
    </w:rPr>
  </w:style>
  <w:style w:type="paragraph" w:customStyle="1" w:styleId="15">
    <w:name w:val="text"/>
    <w:basedOn w:val="1"/>
    <w:uiPriority w:val="0"/>
    <w:pPr>
      <w:widowControl/>
      <w:spacing w:before="100" w:beforeAutospacing="1" w:after="100" w:afterAutospacing="1" w:line="320" w:lineRule="atLeast"/>
      <w:ind w:left="0" w:leftChars="0" w:right="0"/>
      <w:jc w:val="left"/>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2853</Words>
  <Characters>3007</Characters>
  <Lines>22</Lines>
  <Paragraphs>6</Paragraphs>
  <TotalTime>0</TotalTime>
  <ScaleCrop>false</ScaleCrop>
  <LinksUpToDate>false</LinksUpToDate>
  <CharactersWithSpaces>3104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Administrator</dc:creator>
  <cp:lastModifiedBy>明明就</cp:lastModifiedBy>
  <cp:lastPrinted>2025-09-17T09:21:00Z</cp:lastPrinted>
  <dcterms:modified xsi:type="dcterms:W3CDTF">2025-09-17T09:42:56Z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B331068111AF4D4B946FBBB318794A2A_13</vt:lpwstr>
  </property>
</Properties>
</file>